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BE6" w:rsidRDefault="00426BE6" w:rsidP="00426BE6">
      <w:pPr>
        <w:pStyle w:val="NormalWeb"/>
        <w:spacing w:before="0" w:beforeAutospacing="0" w:after="225" w:afterAutospacing="0" w:line="384" w:lineRule="atLeast"/>
        <w:rPr>
          <w:rFonts w:ascii="Arial" w:hAnsi="Arial" w:cs="Arial"/>
          <w:color w:val="333333"/>
          <w:sz w:val="21"/>
          <w:szCs w:val="21"/>
        </w:rPr>
      </w:pPr>
      <w:r>
        <w:rPr>
          <w:rFonts w:ascii="Arial" w:hAnsi="Arial" w:cs="Arial"/>
          <w:color w:val="333333"/>
          <w:sz w:val="21"/>
          <w:szCs w:val="21"/>
        </w:rPr>
        <w:t>​</w:t>
      </w:r>
      <w:r>
        <w:rPr>
          <w:rFonts w:ascii="Arial" w:hAnsi="Arial" w:cs="Arial"/>
          <w:b/>
          <w:bCs/>
          <w:color w:val="333333"/>
          <w:sz w:val="21"/>
          <w:szCs w:val="21"/>
        </w:rPr>
        <w:t> </w:t>
      </w:r>
      <w:r w:rsidRPr="00426BE6">
        <w:rPr>
          <w:rFonts w:ascii="Arial" w:hAnsi="Arial" w:cs="Arial"/>
          <w:b/>
          <w:color w:val="333333"/>
          <w:sz w:val="28"/>
          <w:szCs w:val="28"/>
        </w:rPr>
        <w:t>Introduction of intraoperative imaging to preserve function in complex Atlas-Hangman-fractures</w:t>
      </w:r>
      <w:r>
        <w:rPr>
          <w:rFonts w:ascii="Arial" w:hAnsi="Arial" w:cs="Arial"/>
          <w:color w:val="333333"/>
          <w:sz w:val="21"/>
          <w:szCs w:val="21"/>
        </w:rPr>
        <w:t> </w:t>
      </w:r>
    </w:p>
    <w:p w:rsidR="00426BE6" w:rsidRPr="00426BE6" w:rsidRDefault="00426BE6" w:rsidP="00426BE6">
      <w:pPr>
        <w:pStyle w:val="NormalWeb"/>
        <w:spacing w:before="0" w:beforeAutospacing="0" w:after="225" w:afterAutospacing="0" w:line="384" w:lineRule="atLeast"/>
        <w:rPr>
          <w:rFonts w:ascii="Arial" w:hAnsi="Arial" w:cs="Arial"/>
          <w:color w:val="333333"/>
        </w:rPr>
      </w:pPr>
      <w:r w:rsidRPr="00426BE6">
        <w:rPr>
          <w:rFonts w:ascii="Arial" w:hAnsi="Arial" w:cs="Arial"/>
          <w:color w:val="333333"/>
        </w:rPr>
        <w:t>Authors -</w:t>
      </w:r>
      <w:proofErr w:type="spellStart"/>
      <w:r w:rsidRPr="00426BE6">
        <w:rPr>
          <w:rFonts w:ascii="Arial" w:hAnsi="Arial" w:cs="Arial"/>
          <w:color w:val="333333"/>
        </w:rPr>
        <w:t>Pankaj</w:t>
      </w:r>
      <w:proofErr w:type="spellEnd"/>
      <w:r w:rsidRPr="00426BE6">
        <w:rPr>
          <w:rFonts w:ascii="Arial" w:hAnsi="Arial" w:cs="Arial"/>
          <w:color w:val="333333"/>
        </w:rPr>
        <w:t xml:space="preserve"> Singh, </w:t>
      </w:r>
      <w:proofErr w:type="spellStart"/>
      <w:r w:rsidRPr="00426BE6">
        <w:rPr>
          <w:rFonts w:ascii="Arial" w:hAnsi="Arial" w:cs="Arial"/>
          <w:color w:val="333333"/>
        </w:rPr>
        <w:t>Satish</w:t>
      </w:r>
      <w:proofErr w:type="spellEnd"/>
      <w:r w:rsidRPr="00426BE6">
        <w:rPr>
          <w:rFonts w:ascii="Arial" w:hAnsi="Arial" w:cs="Arial"/>
          <w:color w:val="333333"/>
        </w:rPr>
        <w:t xml:space="preserve"> </w:t>
      </w:r>
      <w:proofErr w:type="spellStart"/>
      <w:r w:rsidRPr="00426BE6">
        <w:rPr>
          <w:rFonts w:ascii="Arial" w:hAnsi="Arial" w:cs="Arial"/>
          <w:color w:val="333333"/>
        </w:rPr>
        <w:t>Verma,Dattaraj</w:t>
      </w:r>
      <w:proofErr w:type="spellEnd"/>
      <w:r w:rsidRPr="00426BE6">
        <w:rPr>
          <w:rFonts w:ascii="Arial" w:hAnsi="Arial" w:cs="Arial"/>
          <w:color w:val="333333"/>
        </w:rPr>
        <w:t xml:space="preserve"> </w:t>
      </w:r>
      <w:proofErr w:type="spellStart"/>
      <w:r w:rsidRPr="00426BE6">
        <w:rPr>
          <w:rFonts w:ascii="Arial" w:hAnsi="Arial" w:cs="Arial"/>
          <w:color w:val="333333"/>
        </w:rPr>
        <w:t>Sawarker</w:t>
      </w:r>
      <w:proofErr w:type="spellEnd"/>
      <w:r w:rsidRPr="00426BE6">
        <w:rPr>
          <w:rFonts w:ascii="Arial" w:hAnsi="Arial" w:cs="Arial"/>
          <w:color w:val="333333"/>
        </w:rPr>
        <w:t xml:space="preserve">, </w:t>
      </w:r>
      <w:proofErr w:type="spellStart"/>
      <w:r w:rsidRPr="00426BE6">
        <w:rPr>
          <w:rFonts w:ascii="Arial" w:hAnsi="Arial" w:cs="Arial"/>
          <w:color w:val="333333"/>
        </w:rPr>
        <w:t>Amandeep</w:t>
      </w:r>
      <w:proofErr w:type="spellEnd"/>
      <w:r w:rsidRPr="00426BE6">
        <w:rPr>
          <w:rFonts w:ascii="Arial" w:hAnsi="Arial" w:cs="Arial"/>
          <w:color w:val="333333"/>
        </w:rPr>
        <w:t xml:space="preserve"> Kumar,</w:t>
      </w:r>
      <w:r w:rsidRPr="00426BE6">
        <w:rPr>
          <w:rStyle w:val="apple-converted-space"/>
          <w:rFonts w:ascii="Arial" w:hAnsi="Arial" w:cs="Arial"/>
          <w:color w:val="333333"/>
        </w:rPr>
        <w:t> </w:t>
      </w:r>
      <w:r w:rsidRPr="00426BE6">
        <w:rPr>
          <w:rFonts w:ascii="Arial" w:hAnsi="Arial" w:cs="Arial"/>
          <w:color w:val="333333"/>
        </w:rPr>
        <w:t xml:space="preserve">Deepak </w:t>
      </w:r>
      <w:proofErr w:type="spellStart"/>
      <w:r w:rsidRPr="00426BE6">
        <w:rPr>
          <w:rFonts w:ascii="Arial" w:hAnsi="Arial" w:cs="Arial"/>
          <w:color w:val="333333"/>
        </w:rPr>
        <w:t>Agarwal,P</w:t>
      </w:r>
      <w:proofErr w:type="spellEnd"/>
      <w:r w:rsidRPr="00426BE6">
        <w:rPr>
          <w:rFonts w:ascii="Arial" w:hAnsi="Arial" w:cs="Arial"/>
          <w:color w:val="333333"/>
        </w:rPr>
        <w:t xml:space="preserve"> S Chandra</w:t>
      </w:r>
      <w:r w:rsidRPr="00426BE6">
        <w:rPr>
          <w:rStyle w:val="apple-converted-space"/>
          <w:rFonts w:ascii="Arial" w:hAnsi="Arial" w:cs="Arial"/>
          <w:color w:val="333333"/>
        </w:rPr>
        <w:t> </w:t>
      </w:r>
      <w:proofErr w:type="spellStart"/>
      <w:r w:rsidRPr="00426BE6">
        <w:rPr>
          <w:rFonts w:ascii="Arial" w:hAnsi="Arial" w:cs="Arial"/>
          <w:color w:val="333333"/>
        </w:rPr>
        <w:t>Sashank</w:t>
      </w:r>
      <w:proofErr w:type="spellEnd"/>
      <w:r w:rsidRPr="00426BE6">
        <w:rPr>
          <w:rFonts w:ascii="Arial" w:hAnsi="Arial" w:cs="Arial"/>
          <w:color w:val="333333"/>
        </w:rPr>
        <w:t xml:space="preserve"> Kale, </w:t>
      </w:r>
      <w:proofErr w:type="spellStart"/>
      <w:r w:rsidRPr="00426BE6">
        <w:rPr>
          <w:rFonts w:ascii="Arial" w:hAnsi="Arial" w:cs="Arial"/>
          <w:color w:val="333333"/>
        </w:rPr>
        <w:t>Bhawani</w:t>
      </w:r>
      <w:proofErr w:type="spellEnd"/>
      <w:r w:rsidRPr="00426BE6">
        <w:rPr>
          <w:rFonts w:ascii="Arial" w:hAnsi="Arial" w:cs="Arial"/>
          <w:color w:val="333333"/>
        </w:rPr>
        <w:t xml:space="preserve"> </w:t>
      </w:r>
      <w:proofErr w:type="spellStart"/>
      <w:r w:rsidRPr="00426BE6">
        <w:rPr>
          <w:rFonts w:ascii="Arial" w:hAnsi="Arial" w:cs="Arial"/>
          <w:color w:val="333333"/>
        </w:rPr>
        <w:t>Shanker</w:t>
      </w:r>
      <w:proofErr w:type="spellEnd"/>
      <w:r w:rsidRPr="00426BE6">
        <w:rPr>
          <w:rFonts w:ascii="Arial" w:hAnsi="Arial" w:cs="Arial"/>
          <w:color w:val="333333"/>
        </w:rPr>
        <w:t xml:space="preserve"> </w:t>
      </w:r>
      <w:proofErr w:type="spellStart"/>
      <w:r w:rsidRPr="00426BE6">
        <w:rPr>
          <w:rFonts w:ascii="Arial" w:hAnsi="Arial" w:cs="Arial"/>
          <w:color w:val="333333"/>
        </w:rPr>
        <w:t>Sharma,Ashok</w:t>
      </w:r>
      <w:proofErr w:type="spellEnd"/>
      <w:r w:rsidRPr="00426BE6">
        <w:rPr>
          <w:rFonts w:ascii="Arial" w:hAnsi="Arial" w:cs="Arial"/>
          <w:color w:val="333333"/>
        </w:rPr>
        <w:t xml:space="preserve"> Kumar </w:t>
      </w:r>
      <w:proofErr w:type="spellStart"/>
      <w:r w:rsidRPr="00426BE6">
        <w:rPr>
          <w:rFonts w:ascii="Arial" w:hAnsi="Arial" w:cs="Arial"/>
          <w:color w:val="333333"/>
        </w:rPr>
        <w:t>Mahapatra</w:t>
      </w:r>
      <w:proofErr w:type="spellEnd"/>
    </w:p>
    <w:p w:rsidR="00426BE6" w:rsidRPr="00426BE6" w:rsidRDefault="00426BE6" w:rsidP="00426BE6">
      <w:pPr>
        <w:pStyle w:val="NormalWeb"/>
        <w:spacing w:before="0" w:beforeAutospacing="0" w:after="225" w:afterAutospacing="0" w:line="384" w:lineRule="atLeast"/>
        <w:rPr>
          <w:rFonts w:ascii="Arial" w:hAnsi="Arial" w:cs="Arial"/>
          <w:b/>
          <w:color w:val="333333"/>
        </w:rPr>
      </w:pPr>
      <w:r w:rsidRPr="00426BE6">
        <w:rPr>
          <w:rFonts w:ascii="Arial" w:hAnsi="Arial" w:cs="Arial"/>
          <w:b/>
          <w:bCs/>
          <w:color w:val="333333"/>
        </w:rPr>
        <w:t> </w:t>
      </w:r>
      <w:r w:rsidRPr="00426BE6">
        <w:rPr>
          <w:rFonts w:ascii="Arial" w:hAnsi="Arial" w:cs="Arial"/>
          <w:b/>
          <w:color w:val="333333"/>
        </w:rPr>
        <w:t>Introduction and Objective:</w:t>
      </w:r>
    </w:p>
    <w:p w:rsidR="00426BE6" w:rsidRDefault="00426BE6" w:rsidP="00426BE6">
      <w:pPr>
        <w:pStyle w:val="NormalWeb"/>
        <w:spacing w:before="0" w:beforeAutospacing="0" w:after="225" w:afterAutospacing="0" w:line="384" w:lineRule="atLeast"/>
        <w:rPr>
          <w:rFonts w:ascii="Arial" w:hAnsi="Arial" w:cs="Arial"/>
          <w:color w:val="333333"/>
        </w:rPr>
      </w:pPr>
      <w:r w:rsidRPr="00426BE6">
        <w:rPr>
          <w:rFonts w:ascii="Arial" w:hAnsi="Arial" w:cs="Arial"/>
          <w:color w:val="333333"/>
        </w:rPr>
        <w:t>Combination fractures of the C1–C2 complex especially atlas &amp; hangman are relatively uncommon. Retrospective study to evaluate the treatment and its outcome of combined C1- hangman’s fracture with and without intraoperative O- arm based navigation system.</w:t>
      </w:r>
    </w:p>
    <w:p w:rsidR="00426BE6" w:rsidRPr="00426BE6" w:rsidRDefault="00426BE6" w:rsidP="00426BE6">
      <w:pPr>
        <w:pStyle w:val="NormalWeb"/>
        <w:spacing w:before="0" w:beforeAutospacing="0" w:after="225" w:afterAutospacing="0" w:line="384" w:lineRule="atLeast"/>
        <w:rPr>
          <w:rFonts w:ascii="Arial" w:hAnsi="Arial" w:cs="Arial"/>
          <w:b/>
          <w:color w:val="333333"/>
        </w:rPr>
      </w:pPr>
      <w:r w:rsidRPr="00426BE6">
        <w:rPr>
          <w:rFonts w:ascii="Arial" w:hAnsi="Arial" w:cs="Arial"/>
          <w:color w:val="333333"/>
        </w:rPr>
        <w:t xml:space="preserve"> </w:t>
      </w:r>
      <w:r w:rsidRPr="00426BE6">
        <w:rPr>
          <w:rFonts w:ascii="Arial" w:hAnsi="Arial" w:cs="Arial"/>
          <w:b/>
          <w:color w:val="333333"/>
        </w:rPr>
        <w:t xml:space="preserve">Material &amp; </w:t>
      </w:r>
      <w:proofErr w:type="gramStart"/>
      <w:r w:rsidRPr="00426BE6">
        <w:rPr>
          <w:rFonts w:ascii="Arial" w:hAnsi="Arial" w:cs="Arial"/>
          <w:b/>
          <w:color w:val="333333"/>
        </w:rPr>
        <w:t>methods :</w:t>
      </w:r>
      <w:proofErr w:type="gramEnd"/>
    </w:p>
    <w:p w:rsidR="00426BE6" w:rsidRDefault="00426BE6" w:rsidP="00426BE6">
      <w:pPr>
        <w:pStyle w:val="NormalWeb"/>
        <w:spacing w:before="0" w:beforeAutospacing="0" w:after="225" w:afterAutospacing="0" w:line="384" w:lineRule="atLeast"/>
        <w:rPr>
          <w:rFonts w:ascii="Arial" w:hAnsi="Arial" w:cs="Arial"/>
          <w:color w:val="333333"/>
        </w:rPr>
      </w:pPr>
      <w:r w:rsidRPr="00426BE6">
        <w:rPr>
          <w:rFonts w:ascii="Arial" w:hAnsi="Arial" w:cs="Arial"/>
          <w:color w:val="333333"/>
        </w:rPr>
        <w:t xml:space="preserve">Out of 37 patients of hangman’s fracture managed at our </w:t>
      </w:r>
      <w:proofErr w:type="spellStart"/>
      <w:r w:rsidRPr="00426BE6">
        <w:rPr>
          <w:rFonts w:ascii="Arial" w:hAnsi="Arial" w:cs="Arial"/>
          <w:color w:val="333333"/>
        </w:rPr>
        <w:t>centre</w:t>
      </w:r>
      <w:proofErr w:type="spellEnd"/>
      <w:r w:rsidRPr="00426BE6">
        <w:rPr>
          <w:rFonts w:ascii="Arial" w:hAnsi="Arial" w:cs="Arial"/>
          <w:color w:val="333333"/>
        </w:rPr>
        <w:t xml:space="preserve"> during February 2009 to August 2014, eight patients (21.62%) had combined C1 and hangman’s fracture. We included 7 patients (male/female</w:t>
      </w:r>
      <w:proofErr w:type="gramStart"/>
      <w:r w:rsidRPr="00426BE6">
        <w:rPr>
          <w:rFonts w:ascii="Arial" w:hAnsi="Arial" w:cs="Arial"/>
          <w:color w:val="333333"/>
        </w:rPr>
        <w:t>:6</w:t>
      </w:r>
      <w:proofErr w:type="gramEnd"/>
      <w:r w:rsidRPr="00426BE6">
        <w:rPr>
          <w:rFonts w:ascii="Arial" w:hAnsi="Arial" w:cs="Arial"/>
          <w:color w:val="333333"/>
        </w:rPr>
        <w:t xml:space="preserve">/1; age 23-81 years, mean 44.29 years) in our study who had follow up. </w:t>
      </w:r>
      <w:proofErr w:type="spellStart"/>
      <w:r w:rsidRPr="00426BE6">
        <w:rPr>
          <w:rFonts w:ascii="Arial" w:hAnsi="Arial" w:cs="Arial"/>
          <w:color w:val="333333"/>
        </w:rPr>
        <w:t>Neurodeficit</w:t>
      </w:r>
      <w:proofErr w:type="spellEnd"/>
      <w:r w:rsidRPr="00426BE6">
        <w:rPr>
          <w:rFonts w:ascii="Arial" w:hAnsi="Arial" w:cs="Arial"/>
          <w:color w:val="333333"/>
        </w:rPr>
        <w:t xml:space="preserve"> was present in 3 patients (ASIA B in 1 </w:t>
      </w:r>
      <w:proofErr w:type="spellStart"/>
      <w:r w:rsidRPr="00426BE6">
        <w:rPr>
          <w:rFonts w:ascii="Arial" w:hAnsi="Arial" w:cs="Arial"/>
          <w:color w:val="333333"/>
        </w:rPr>
        <w:t>pateint</w:t>
      </w:r>
      <w:proofErr w:type="spellEnd"/>
      <w:r w:rsidRPr="00426BE6">
        <w:rPr>
          <w:rFonts w:ascii="Arial" w:hAnsi="Arial" w:cs="Arial"/>
          <w:color w:val="333333"/>
        </w:rPr>
        <w:t xml:space="preserve"> and ASIA C in 2 patients). Operative intervention was performed in 6 patients. Specific treatment was determined by the combination of fractures. We used O-arm (intraoperative CT scan with navigation) in 3 patients (after we got one in our hospital) and its use allowed us to do more anatomical and more motion preserving procedure in these 3 patients. In 1 patient C2 pedicle screws and C3 lateral mass screw and rod fixation, and in 2 patients C2 pedicle screw and C3-C4 lateral mass screw and rod fixation was done.</w:t>
      </w:r>
    </w:p>
    <w:p w:rsidR="00426BE6" w:rsidRPr="00426BE6" w:rsidRDefault="00426BE6" w:rsidP="00426BE6">
      <w:pPr>
        <w:pStyle w:val="NormalWeb"/>
        <w:spacing w:before="0" w:beforeAutospacing="0" w:after="225" w:afterAutospacing="0" w:line="384" w:lineRule="atLeast"/>
        <w:rPr>
          <w:rFonts w:ascii="Arial" w:hAnsi="Arial" w:cs="Arial"/>
          <w:b/>
          <w:color w:val="333333"/>
        </w:rPr>
      </w:pPr>
      <w:r w:rsidRPr="00426BE6">
        <w:rPr>
          <w:rFonts w:ascii="Arial" w:hAnsi="Arial" w:cs="Arial"/>
          <w:color w:val="333333"/>
        </w:rPr>
        <w:t xml:space="preserve"> </w:t>
      </w:r>
      <w:r w:rsidRPr="00426BE6">
        <w:rPr>
          <w:rFonts w:ascii="Arial" w:hAnsi="Arial" w:cs="Arial"/>
          <w:b/>
          <w:color w:val="333333"/>
        </w:rPr>
        <w:t>Results:</w:t>
      </w:r>
    </w:p>
    <w:p w:rsidR="00426BE6" w:rsidRDefault="00426BE6" w:rsidP="00426BE6">
      <w:pPr>
        <w:pStyle w:val="NormalWeb"/>
        <w:spacing w:before="0" w:beforeAutospacing="0" w:after="225" w:afterAutospacing="0" w:line="384" w:lineRule="atLeast"/>
        <w:rPr>
          <w:rFonts w:ascii="Arial" w:hAnsi="Arial" w:cs="Arial"/>
          <w:color w:val="333333"/>
        </w:rPr>
      </w:pPr>
      <w:r w:rsidRPr="00426BE6">
        <w:rPr>
          <w:rFonts w:ascii="Arial" w:hAnsi="Arial" w:cs="Arial"/>
          <w:color w:val="333333"/>
        </w:rPr>
        <w:t xml:space="preserve"> There were no intraoperative surgery related complications. The mean follow-up period was 20.6 months. Neurological recovery occurred in all 3 patients with preoperative neurological deficits. Radiological fusion occurred in all cases. Rotation at C1-2 was preserved in all 3 cases operated under O-Arm guidance and in one patient with type 1 fracture who was managed conservatively</w:t>
      </w:r>
    </w:p>
    <w:p w:rsidR="00426BE6" w:rsidRDefault="00426BE6" w:rsidP="00426BE6">
      <w:pPr>
        <w:pStyle w:val="NormalWeb"/>
        <w:spacing w:before="0" w:beforeAutospacing="0" w:after="225" w:afterAutospacing="0" w:line="384" w:lineRule="atLeast"/>
        <w:rPr>
          <w:rFonts w:ascii="Arial" w:hAnsi="Arial" w:cs="Arial"/>
          <w:color w:val="333333"/>
        </w:rPr>
      </w:pPr>
    </w:p>
    <w:p w:rsidR="00426BE6" w:rsidRPr="00426BE6" w:rsidRDefault="00426BE6" w:rsidP="00426BE6">
      <w:pPr>
        <w:pStyle w:val="NormalWeb"/>
        <w:spacing w:before="0" w:beforeAutospacing="0" w:after="225" w:afterAutospacing="0" w:line="384" w:lineRule="atLeast"/>
        <w:rPr>
          <w:rFonts w:ascii="Arial" w:hAnsi="Arial" w:cs="Arial"/>
          <w:b/>
          <w:color w:val="333333"/>
        </w:rPr>
      </w:pPr>
      <w:r w:rsidRPr="00426BE6">
        <w:rPr>
          <w:rFonts w:ascii="Arial" w:hAnsi="Arial" w:cs="Arial"/>
          <w:color w:val="333333"/>
        </w:rPr>
        <w:lastRenderedPageBreak/>
        <w:t xml:space="preserve"> </w:t>
      </w:r>
      <w:r w:rsidRPr="00426BE6">
        <w:rPr>
          <w:rFonts w:ascii="Arial" w:hAnsi="Arial" w:cs="Arial"/>
          <w:b/>
          <w:color w:val="333333"/>
        </w:rPr>
        <w:t>Conclusions:</w:t>
      </w:r>
    </w:p>
    <w:p w:rsidR="00426BE6" w:rsidRPr="00426BE6" w:rsidRDefault="00426BE6" w:rsidP="00426BE6">
      <w:pPr>
        <w:pStyle w:val="NormalWeb"/>
        <w:spacing w:before="0" w:beforeAutospacing="0" w:after="225" w:afterAutospacing="0" w:line="384" w:lineRule="atLeast"/>
        <w:rPr>
          <w:rFonts w:ascii="Arial" w:hAnsi="Arial" w:cs="Arial"/>
          <w:color w:val="333333"/>
        </w:rPr>
      </w:pPr>
      <w:r w:rsidRPr="00426BE6">
        <w:rPr>
          <w:rFonts w:ascii="Arial" w:hAnsi="Arial" w:cs="Arial"/>
          <w:color w:val="333333"/>
        </w:rPr>
        <w:t xml:space="preserve"> The goals in treating these complex fractures are to achieve early maximum stability and preserving maximum range of motion. These are often competing phenomena. Treatment in patients with these combination fractures is based on the type of </w:t>
      </w:r>
      <w:bookmarkStart w:id="0" w:name="_GoBack"/>
      <w:bookmarkEnd w:id="0"/>
      <w:r w:rsidRPr="00426BE6">
        <w:rPr>
          <w:rFonts w:ascii="Arial" w:hAnsi="Arial" w:cs="Arial"/>
          <w:color w:val="333333"/>
        </w:rPr>
        <w:t>hangman’s fracture. Good healing can be achieved in elderly patients also and we should be aggressive in management of these patients with new intra operative CT scans and navigation system.</w:t>
      </w:r>
    </w:p>
    <w:p w:rsidR="00553187" w:rsidRDefault="00553187"/>
    <w:sectPr w:rsidR="005531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E6"/>
    <w:rsid w:val="00426BE6"/>
    <w:rsid w:val="00553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B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6B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6BE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6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pankaj</dc:creator>
  <cp:lastModifiedBy>dr pankaj</cp:lastModifiedBy>
  <cp:revision>1</cp:revision>
  <dcterms:created xsi:type="dcterms:W3CDTF">2017-03-07T16:31:00Z</dcterms:created>
  <dcterms:modified xsi:type="dcterms:W3CDTF">2017-03-07T16:34:00Z</dcterms:modified>
</cp:coreProperties>
</file>