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156" w:rsidRDefault="009E1035" w:rsidP="002C577B">
      <w:pPr>
        <w:spacing w:line="36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«КОНСЕРВАТИВНОЙ» РЕВИЗИИ НОЖЕК ЭНДОПРОТЕЗОВ ТАЗОБЕДРЕННОГО СУСТАВА</w:t>
      </w:r>
    </w:p>
    <w:p w:rsidR="00695156" w:rsidRDefault="00D84812" w:rsidP="002C577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В.В. Даниляк, В.В. Ключевский</w:t>
      </w:r>
      <w:r w:rsidR="009E103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М.А. Молодов, А.Ю. Кочнев, А.В. Шушлебин, Т.В. Аксенова </w:t>
      </w:r>
    </w:p>
    <w:p w:rsidR="009E1035" w:rsidRDefault="009E1035" w:rsidP="002C577B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1035">
        <w:rPr>
          <w:rFonts w:ascii="Times New Roman" w:hAnsi="Times New Roman" w:cs="Times New Roman"/>
          <w:i/>
          <w:sz w:val="24"/>
          <w:szCs w:val="24"/>
        </w:rPr>
        <w:t>Ярославский областной клинический госпиталь ветеранов войн – международный центр «Здоровое долголетие», Главный врач – заслуженный врач РФ В.Г. Герасимов,            Ярославль, Россия</w:t>
      </w:r>
    </w:p>
    <w:p w:rsidR="002C577B" w:rsidRPr="002C577B" w:rsidRDefault="009709A3" w:rsidP="009709A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данным Национальных регистров артропластики</w:t>
      </w:r>
      <w:r w:rsidR="003D0E3E">
        <w:rPr>
          <w:rFonts w:ascii="Times New Roman" w:hAnsi="Times New Roman" w:cs="Times New Roman"/>
          <w:sz w:val="24"/>
          <w:szCs w:val="24"/>
        </w:rPr>
        <w:t xml:space="preserve"> тазобедренного сустава </w:t>
      </w:r>
      <w:r>
        <w:rPr>
          <w:rFonts w:ascii="Times New Roman" w:hAnsi="Times New Roman" w:cs="Times New Roman"/>
          <w:sz w:val="24"/>
          <w:szCs w:val="24"/>
        </w:rPr>
        <w:t xml:space="preserve">частота ревизий ножек эндопротезов составляет 39 – 45% </w:t>
      </w:r>
      <w:r w:rsidR="003D0E3E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всех ревизионных вмешательств.</w:t>
      </w:r>
    </w:p>
    <w:p w:rsidR="009E1035" w:rsidRDefault="009709A3" w:rsidP="002C577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Показаниями являются остеолиз, инфекция, боли, связанные с первичной нестабильностью, перипротезные переломы и ошибки позиционирования, сопровождающиеся избыточным удлинением конечности или рецидивирующими вывихами.</w:t>
      </w:r>
    </w:p>
    <w:p w:rsidR="009709A3" w:rsidRDefault="00F77027" w:rsidP="002C577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</w:t>
      </w:r>
      <w:r w:rsidR="003D0E3E">
        <w:rPr>
          <w:rFonts w:ascii="Times New Roman" w:hAnsi="Times New Roman" w:cs="Times New Roman"/>
          <w:sz w:val="24"/>
          <w:szCs w:val="24"/>
        </w:rPr>
        <w:t>подобных</w:t>
      </w:r>
      <w:r w:rsidR="009D498D">
        <w:rPr>
          <w:rFonts w:ascii="Times New Roman" w:hAnsi="Times New Roman" w:cs="Times New Roman"/>
          <w:sz w:val="24"/>
          <w:szCs w:val="24"/>
        </w:rPr>
        <w:t xml:space="preserve"> ревизий </w:t>
      </w:r>
      <w:r>
        <w:rPr>
          <w:rFonts w:ascii="Times New Roman" w:hAnsi="Times New Roman" w:cs="Times New Roman"/>
          <w:sz w:val="24"/>
          <w:szCs w:val="24"/>
        </w:rPr>
        <w:t>приходится сталкиваться с дефектом бедренной кости, возникающим в результате остеолиза, циклических смещений нестабильн</w:t>
      </w:r>
      <w:r w:rsidR="009D498D">
        <w:rPr>
          <w:rFonts w:ascii="Times New Roman" w:hAnsi="Times New Roman" w:cs="Times New Roman"/>
          <w:sz w:val="24"/>
          <w:szCs w:val="24"/>
        </w:rPr>
        <w:t xml:space="preserve">ой ножки </w:t>
      </w:r>
      <w:r>
        <w:rPr>
          <w:rFonts w:ascii="Times New Roman" w:hAnsi="Times New Roman" w:cs="Times New Roman"/>
          <w:sz w:val="24"/>
          <w:szCs w:val="24"/>
        </w:rPr>
        <w:t>и дополнительных поврежд</w:t>
      </w:r>
      <w:r w:rsidR="009D498D">
        <w:rPr>
          <w:rFonts w:ascii="Times New Roman" w:hAnsi="Times New Roman" w:cs="Times New Roman"/>
          <w:sz w:val="24"/>
          <w:szCs w:val="24"/>
        </w:rPr>
        <w:t xml:space="preserve">ений при ее удалении. </w:t>
      </w:r>
    </w:p>
    <w:p w:rsidR="001A48B9" w:rsidRDefault="001A48B9" w:rsidP="002C577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Классификация дефектов </w:t>
      </w:r>
      <w:r w:rsidR="00D215C1">
        <w:rPr>
          <w:rFonts w:ascii="Times New Roman" w:hAnsi="Times New Roman" w:cs="Times New Roman"/>
          <w:sz w:val="24"/>
          <w:szCs w:val="24"/>
        </w:rPr>
        <w:t>бедра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1A48B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1A48B9">
        <w:rPr>
          <w:rFonts w:ascii="Times New Roman" w:hAnsi="Times New Roman" w:cs="Times New Roman"/>
          <w:sz w:val="24"/>
          <w:szCs w:val="24"/>
        </w:rPr>
        <w:t>.</w:t>
      </w:r>
      <w:r w:rsidR="00D215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Pap</w:t>
      </w:r>
      <w:r w:rsidR="00D215C1">
        <w:rPr>
          <w:rFonts w:ascii="Times New Roman" w:hAnsi="Times New Roman" w:cs="Times New Roman"/>
          <w:sz w:val="24"/>
          <w:szCs w:val="24"/>
          <w:lang w:val="en-US"/>
        </w:rPr>
        <w:t>rosky</w:t>
      </w:r>
      <w:r w:rsidR="00D215C1" w:rsidRPr="00D215C1">
        <w:rPr>
          <w:rFonts w:ascii="Times New Roman" w:hAnsi="Times New Roman" w:cs="Times New Roman"/>
          <w:sz w:val="24"/>
          <w:szCs w:val="24"/>
        </w:rPr>
        <w:t xml:space="preserve">, </w:t>
      </w:r>
      <w:r w:rsidR="00D215C1">
        <w:rPr>
          <w:rFonts w:ascii="Times New Roman" w:hAnsi="Times New Roman" w:cs="Times New Roman"/>
          <w:sz w:val="24"/>
          <w:szCs w:val="24"/>
        </w:rPr>
        <w:t>основанная на оценке остаточной способности метафизарной и супраистмальной</w:t>
      </w:r>
      <w:r w:rsidR="00E45625">
        <w:rPr>
          <w:rFonts w:ascii="Times New Roman" w:hAnsi="Times New Roman" w:cs="Times New Roman"/>
          <w:sz w:val="24"/>
          <w:szCs w:val="24"/>
        </w:rPr>
        <w:t xml:space="preserve"> диафизарной кости фиксировать ножку эндопротеза, лежит в основе алгоритма выбора ревизионного имплантата. </w:t>
      </w:r>
    </w:p>
    <w:p w:rsidR="00F365FB" w:rsidRDefault="00634676" w:rsidP="002C577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Философия «консервативной» ревизии исходит из высокой вероятности повторных </w:t>
      </w:r>
      <w:r w:rsidR="00F365FB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многократных вмешательств в течение оставшейся жизни пациента – до 20 – 25% наблюдений.</w:t>
      </w:r>
      <w:r w:rsidR="007541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4676" w:rsidRDefault="007541FE" w:rsidP="002C577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Концепция включает в себя:</w:t>
      </w:r>
    </w:p>
    <w:p w:rsidR="007541FE" w:rsidRDefault="007541FE" w:rsidP="007541FE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Восстановление</w:t>
      </w:r>
      <w:r w:rsidR="00BD3B26">
        <w:rPr>
          <w:rFonts w:ascii="Times New Roman" w:hAnsi="Times New Roman" w:cs="Times New Roman"/>
          <w:sz w:val="24"/>
          <w:szCs w:val="24"/>
        </w:rPr>
        <w:t xml:space="preserve"> биомеханики</w:t>
      </w:r>
      <w:r w:rsidR="009358B7">
        <w:rPr>
          <w:rFonts w:ascii="Times New Roman" w:hAnsi="Times New Roman" w:cs="Times New Roman"/>
          <w:sz w:val="24"/>
          <w:szCs w:val="24"/>
        </w:rPr>
        <w:t xml:space="preserve"> и стабильности</w:t>
      </w:r>
      <w:r w:rsidR="00BD3B26">
        <w:rPr>
          <w:rFonts w:ascii="Times New Roman" w:hAnsi="Times New Roman" w:cs="Times New Roman"/>
          <w:sz w:val="24"/>
          <w:szCs w:val="24"/>
        </w:rPr>
        <w:t xml:space="preserve"> сустава с максимальным сбережением оставшейся массы кости</w:t>
      </w:r>
    </w:p>
    <w:p w:rsidR="00BD3B26" w:rsidRDefault="00BD3B26" w:rsidP="007541FE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 наиболее простого способа реконструкции с гарантированной защитой пациента от возможных осложнений</w:t>
      </w:r>
    </w:p>
    <w:p w:rsidR="00BD3B26" w:rsidRDefault="00BD3B26" w:rsidP="007541FE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Приближение ревизии к ситуации первичного протезирования</w:t>
      </w:r>
    </w:p>
    <w:p w:rsidR="00BD3B26" w:rsidRDefault="00BD3B26" w:rsidP="00BD3B26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для вертлужной впадины приближение ревизионной ситуации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первичной заключается в имплантации полусферических чашек с возможностью установки любого типа вкладыша, то для бедра оно включает применение первичных ножек или их удлинённых аналогов.</w:t>
      </w:r>
    </w:p>
    <w:p w:rsidR="003716A2" w:rsidRDefault="00225022" w:rsidP="00BD3B26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Целью данного исследование явилось изучение результатов «консервативных» ревизий бедренных компонентов эндопротезов. </w:t>
      </w:r>
    </w:p>
    <w:p w:rsidR="00225022" w:rsidRDefault="00225022" w:rsidP="00BD3B26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качестве ревизионных ножек использовались первичные имплантаты с полным гидроксилапатитовым покрытием</w:t>
      </w:r>
      <w:r w:rsidR="00C070A9">
        <w:rPr>
          <w:rFonts w:ascii="Times New Roman" w:hAnsi="Times New Roman" w:cs="Times New Roman"/>
          <w:sz w:val="24"/>
          <w:szCs w:val="24"/>
        </w:rPr>
        <w:t xml:space="preserve"> и их удлиненные аналоги (</w:t>
      </w:r>
      <w:r w:rsidR="00C070A9">
        <w:rPr>
          <w:rFonts w:ascii="Times New Roman" w:hAnsi="Times New Roman" w:cs="Times New Roman"/>
          <w:sz w:val="24"/>
          <w:szCs w:val="24"/>
          <w:lang w:val="en-US"/>
        </w:rPr>
        <w:t>Corail</w:t>
      </w:r>
      <w:r w:rsidR="00C070A9" w:rsidRPr="00C070A9">
        <w:rPr>
          <w:rFonts w:ascii="Times New Roman" w:hAnsi="Times New Roman" w:cs="Times New Roman"/>
          <w:sz w:val="24"/>
          <w:szCs w:val="24"/>
        </w:rPr>
        <w:t xml:space="preserve"> </w:t>
      </w:r>
      <w:r w:rsidR="00C070A9">
        <w:rPr>
          <w:rFonts w:ascii="Times New Roman" w:hAnsi="Times New Roman" w:cs="Times New Roman"/>
          <w:sz w:val="24"/>
          <w:szCs w:val="24"/>
          <w:lang w:val="en-US"/>
        </w:rPr>
        <w:t>Hip</w:t>
      </w:r>
      <w:r w:rsidR="00C070A9" w:rsidRPr="00C070A9">
        <w:rPr>
          <w:rFonts w:ascii="Times New Roman" w:hAnsi="Times New Roman" w:cs="Times New Roman"/>
          <w:sz w:val="24"/>
          <w:szCs w:val="24"/>
        </w:rPr>
        <w:t xml:space="preserve"> </w:t>
      </w:r>
      <w:r w:rsidR="00C070A9"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="00C070A9" w:rsidRPr="00C070A9">
        <w:rPr>
          <w:rFonts w:ascii="Times New Roman" w:hAnsi="Times New Roman" w:cs="Times New Roman"/>
          <w:sz w:val="24"/>
          <w:szCs w:val="24"/>
        </w:rPr>
        <w:t xml:space="preserve">, </w:t>
      </w:r>
      <w:r w:rsidR="00C070A9">
        <w:rPr>
          <w:rFonts w:ascii="Times New Roman" w:hAnsi="Times New Roman" w:cs="Times New Roman"/>
          <w:sz w:val="24"/>
          <w:szCs w:val="24"/>
          <w:lang w:val="en-US"/>
        </w:rPr>
        <w:t>DePuy</w:t>
      </w:r>
      <w:r w:rsidR="00C070A9" w:rsidRPr="00C070A9">
        <w:rPr>
          <w:rFonts w:ascii="Times New Roman" w:hAnsi="Times New Roman" w:cs="Times New Roman"/>
          <w:sz w:val="24"/>
          <w:szCs w:val="24"/>
        </w:rPr>
        <w:t xml:space="preserve"> </w:t>
      </w:r>
      <w:r w:rsidR="00C070A9">
        <w:rPr>
          <w:rFonts w:ascii="Times New Roman" w:hAnsi="Times New Roman" w:cs="Times New Roman"/>
          <w:sz w:val="24"/>
          <w:szCs w:val="24"/>
          <w:lang w:val="en-US"/>
        </w:rPr>
        <w:t>Synthes</w:t>
      </w:r>
      <w:r w:rsidR="00C070A9" w:rsidRPr="00C070A9">
        <w:rPr>
          <w:rFonts w:ascii="Times New Roman" w:hAnsi="Times New Roman" w:cs="Times New Roman"/>
          <w:sz w:val="24"/>
          <w:szCs w:val="24"/>
        </w:rPr>
        <w:t xml:space="preserve"> </w:t>
      </w:r>
      <w:r w:rsidR="00C070A9">
        <w:rPr>
          <w:rFonts w:ascii="Times New Roman" w:hAnsi="Times New Roman" w:cs="Times New Roman"/>
          <w:sz w:val="24"/>
          <w:szCs w:val="24"/>
          <w:lang w:val="en-US"/>
        </w:rPr>
        <w:t>Companies</w:t>
      </w:r>
      <w:r w:rsidR="00C070A9" w:rsidRPr="00C070A9">
        <w:rPr>
          <w:rFonts w:ascii="Times New Roman" w:hAnsi="Times New Roman" w:cs="Times New Roman"/>
          <w:sz w:val="24"/>
          <w:szCs w:val="24"/>
        </w:rPr>
        <w:t>).</w:t>
      </w:r>
      <w:r w:rsidR="003716A2">
        <w:rPr>
          <w:rFonts w:ascii="Times New Roman" w:hAnsi="Times New Roman" w:cs="Times New Roman"/>
          <w:sz w:val="24"/>
          <w:szCs w:val="24"/>
        </w:rPr>
        <w:t xml:space="preserve">  Длина имплантатов в зависимости от размеров колебалась от 14</w:t>
      </w:r>
      <w:r w:rsidR="003805E7">
        <w:rPr>
          <w:rFonts w:ascii="Times New Roman" w:hAnsi="Times New Roman" w:cs="Times New Roman"/>
          <w:sz w:val="24"/>
          <w:szCs w:val="24"/>
        </w:rPr>
        <w:t>0 мм (стандартный вариант) до 23</w:t>
      </w:r>
      <w:r w:rsidR="003716A2">
        <w:rPr>
          <w:rFonts w:ascii="Times New Roman" w:hAnsi="Times New Roman" w:cs="Times New Roman"/>
          <w:sz w:val="24"/>
          <w:szCs w:val="24"/>
        </w:rPr>
        <w:t>0 мм (удлиненный вариант).  Последние годы обязательным считали применение ножек с воротничками, оптимизирующими передачу нагрузок на проксимальный отдел бедренной кости и препятствующими проседанию.</w:t>
      </w:r>
    </w:p>
    <w:p w:rsidR="00A66F6F" w:rsidRDefault="00EB4306" w:rsidP="00BD3B26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2007 года выполнено 63 ревизионных </w:t>
      </w:r>
      <w:r w:rsidR="00A66F6F">
        <w:rPr>
          <w:rFonts w:ascii="Times New Roman" w:hAnsi="Times New Roman" w:cs="Times New Roman"/>
          <w:sz w:val="24"/>
          <w:szCs w:val="24"/>
        </w:rPr>
        <w:t>вмешательств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</w:t>
      </w:r>
      <w:r>
        <w:rPr>
          <w:rFonts w:ascii="Times New Roman" w:hAnsi="Times New Roman" w:cs="Times New Roman"/>
          <w:sz w:val="24"/>
          <w:szCs w:val="24"/>
          <w:lang w:val="en-US"/>
        </w:rPr>
        <w:t>Corail</w:t>
      </w:r>
      <w:r w:rsidRPr="00EB43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hip</w:t>
      </w:r>
      <w:r w:rsidRPr="00EB43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System</w:t>
      </w:r>
      <w:r w:rsidRPr="00EB4306">
        <w:rPr>
          <w:rFonts w:ascii="Times New Roman" w:hAnsi="Times New Roman" w:cs="Times New Roman"/>
          <w:sz w:val="24"/>
          <w:szCs w:val="24"/>
        </w:rPr>
        <w:t xml:space="preserve">. </w:t>
      </w:r>
      <w:r w:rsidR="00295416">
        <w:rPr>
          <w:rFonts w:ascii="Times New Roman" w:hAnsi="Times New Roman" w:cs="Times New Roman"/>
          <w:sz w:val="24"/>
          <w:szCs w:val="24"/>
        </w:rPr>
        <w:t>Мужчин было 25 (39,6%), женщин – 38 (60.4%). Средний возраст пациентов составил 59 ± 3 лет.</w:t>
      </w:r>
      <w:r w:rsidR="00A66F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4306" w:rsidRDefault="00A66F6F" w:rsidP="00BD3B26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Показаниями к операции были: остеолиз бедренной кости с различной степенью нестабильности первичной ножки – 53, двухэтапные ревизии по поводу парапротезной инфекции – 6, замена неправильно позиционированных имплантатов – 4.</w:t>
      </w:r>
    </w:p>
    <w:p w:rsidR="00A66F6F" w:rsidRDefault="00A66F6F" w:rsidP="00BD3B26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классификации </w:t>
      </w:r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A66F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A66F6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Paprosky</w:t>
      </w:r>
      <w:r w:rsidRPr="00A66F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отмечены следующие варианты дефектов бедренной кости, возникшие в результате остеолиза, колебаний нестабильной ножки или после удаления остеоинтегрированного имплантата:</w:t>
      </w:r>
    </w:p>
    <w:p w:rsidR="00A66F6F" w:rsidRDefault="00A66F6F" w:rsidP="00A66F6F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тип                                                                       7 наблюдений</w:t>
      </w:r>
    </w:p>
    <w:p w:rsidR="00D36703" w:rsidRDefault="00A66F6F" w:rsidP="00A66F6F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II </w:t>
      </w:r>
      <w:r>
        <w:rPr>
          <w:rFonts w:ascii="Times New Roman" w:hAnsi="Times New Roman" w:cs="Times New Roman"/>
          <w:sz w:val="24"/>
          <w:szCs w:val="24"/>
        </w:rPr>
        <w:t>тип</w:t>
      </w:r>
      <w:r w:rsidR="00230FB5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D36703">
        <w:rPr>
          <w:rFonts w:ascii="Times New Roman" w:hAnsi="Times New Roman" w:cs="Times New Roman"/>
          <w:sz w:val="24"/>
          <w:szCs w:val="24"/>
        </w:rPr>
        <w:t xml:space="preserve">                               29 наблюдений</w:t>
      </w:r>
    </w:p>
    <w:p w:rsidR="00D36703" w:rsidRDefault="00D36703" w:rsidP="00A66F6F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тип                                                                   21 наблюдение</w:t>
      </w:r>
    </w:p>
    <w:p w:rsidR="00A66F6F" w:rsidRDefault="00D36703" w:rsidP="00A66F6F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 тип</w:t>
      </w:r>
      <w:r w:rsidR="00230F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6 наблюдений</w:t>
      </w:r>
    </w:p>
    <w:p w:rsidR="00D36703" w:rsidRPr="00321533" w:rsidRDefault="00D36703" w:rsidP="00D3670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Использованы 41 первичная ножка </w:t>
      </w:r>
      <w:r>
        <w:rPr>
          <w:rFonts w:ascii="Times New Roman" w:hAnsi="Times New Roman" w:cs="Times New Roman"/>
          <w:sz w:val="24"/>
          <w:szCs w:val="24"/>
          <w:lang w:val="en-US"/>
        </w:rPr>
        <w:t>Corail</w:t>
      </w:r>
      <w:r>
        <w:rPr>
          <w:rFonts w:ascii="Times New Roman" w:hAnsi="Times New Roman" w:cs="Times New Roman"/>
          <w:sz w:val="24"/>
          <w:szCs w:val="24"/>
        </w:rPr>
        <w:t xml:space="preserve"> и 22 удлиненные ножки </w:t>
      </w:r>
      <w:r>
        <w:rPr>
          <w:rFonts w:ascii="Times New Roman" w:hAnsi="Times New Roman" w:cs="Times New Roman"/>
          <w:sz w:val="24"/>
          <w:szCs w:val="24"/>
          <w:lang w:val="en-US"/>
        </w:rPr>
        <w:t>Corail</w:t>
      </w:r>
      <w:r w:rsidRPr="00D367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Revision</w:t>
      </w:r>
      <w:r w:rsidRPr="00D36703">
        <w:rPr>
          <w:rFonts w:ascii="Times New Roman" w:hAnsi="Times New Roman" w:cs="Times New Roman"/>
          <w:sz w:val="24"/>
          <w:szCs w:val="24"/>
        </w:rPr>
        <w:t xml:space="preserve">. </w:t>
      </w:r>
      <w:r w:rsidR="00BF62C6">
        <w:rPr>
          <w:rFonts w:ascii="Times New Roman" w:hAnsi="Times New Roman" w:cs="Times New Roman"/>
          <w:sz w:val="24"/>
          <w:szCs w:val="24"/>
        </w:rPr>
        <w:t xml:space="preserve">Сроки наблюдения 6 – 92 месяца (в среднем, 45 месяцев). </w:t>
      </w:r>
      <w:r w:rsidR="00321533">
        <w:rPr>
          <w:rFonts w:ascii="Times New Roman" w:hAnsi="Times New Roman" w:cs="Times New Roman"/>
          <w:sz w:val="24"/>
          <w:szCs w:val="24"/>
        </w:rPr>
        <w:t xml:space="preserve">У всех пациентов получен положительный результат с клиническими и рентгенологическими признаками остеоинтеграции имплантированных ножек. В трех наблюдениях отмечено проседание первичной ножки </w:t>
      </w:r>
      <w:r w:rsidR="00321533">
        <w:rPr>
          <w:rFonts w:ascii="Times New Roman" w:hAnsi="Times New Roman" w:cs="Times New Roman"/>
          <w:sz w:val="24"/>
          <w:szCs w:val="24"/>
          <w:lang w:val="en-US"/>
        </w:rPr>
        <w:t>Corail</w:t>
      </w:r>
      <w:r w:rsidR="00321533">
        <w:rPr>
          <w:rFonts w:ascii="Times New Roman" w:hAnsi="Times New Roman" w:cs="Times New Roman"/>
          <w:sz w:val="24"/>
          <w:szCs w:val="24"/>
        </w:rPr>
        <w:t xml:space="preserve"> без воротничка на 3 – 4 мм с последующей стабилизацией. Средний балл по шкале </w:t>
      </w:r>
      <w:r w:rsidR="00321533">
        <w:rPr>
          <w:rFonts w:ascii="Times New Roman" w:hAnsi="Times New Roman" w:cs="Times New Roman"/>
          <w:sz w:val="24"/>
          <w:szCs w:val="24"/>
          <w:lang w:val="en-US"/>
        </w:rPr>
        <w:t>Harris</w:t>
      </w:r>
      <w:r w:rsidR="00321533">
        <w:rPr>
          <w:rFonts w:ascii="Times New Roman" w:hAnsi="Times New Roman" w:cs="Times New Roman"/>
          <w:sz w:val="24"/>
          <w:szCs w:val="24"/>
        </w:rPr>
        <w:t xml:space="preserve"> при осмотре в сроки 5 лет – 91, 2. Статистически значимой зависимости функциональных результатов от типа имевшегося дефекта бедра не установлено.</w:t>
      </w:r>
      <w:r w:rsidR="00321533">
        <w:rPr>
          <w:rFonts w:ascii="Times New Roman" w:hAnsi="Times New Roman" w:cs="Times New Roman"/>
          <w:sz w:val="24"/>
          <w:szCs w:val="24"/>
        </w:rPr>
        <w:tab/>
      </w:r>
    </w:p>
    <w:p w:rsidR="00833CE8" w:rsidRDefault="00833CE8" w:rsidP="00D36703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Выводы:</w:t>
      </w:r>
    </w:p>
    <w:p w:rsidR="00833CE8" w:rsidRDefault="00833CE8" w:rsidP="00833CE8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Частота замены ножек эндопротезов составляет 30 – 40% от числа всех ревизионных вмешательств.</w:t>
      </w:r>
    </w:p>
    <w:p w:rsidR="00833CE8" w:rsidRDefault="00833CE8" w:rsidP="00833CE8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Вероятность повторных ревизий в течение жизни пациента остается очень высокой и может достигать 20 – 25%.</w:t>
      </w:r>
    </w:p>
    <w:p w:rsidR="00833CE8" w:rsidRDefault="00833CE8" w:rsidP="00833CE8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основе любого ревизионного вмешательства должен лежать «консерватизм», основанный на выборе наиболее простого и безопасного для больного способа реконструкции</w:t>
      </w:r>
      <w:r w:rsidR="00F26913">
        <w:rPr>
          <w:rFonts w:ascii="Times New Roman" w:hAnsi="Times New Roman" w:cs="Times New Roman"/>
          <w:sz w:val="24"/>
          <w:szCs w:val="24"/>
        </w:rPr>
        <w:t xml:space="preserve">, а также максимального приближения ревизионной ситуации </w:t>
      </w:r>
      <w:proofErr w:type="gramStart"/>
      <w:r w:rsidR="00F2691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F26913">
        <w:rPr>
          <w:rFonts w:ascii="Times New Roman" w:hAnsi="Times New Roman" w:cs="Times New Roman"/>
          <w:sz w:val="24"/>
          <w:szCs w:val="24"/>
        </w:rPr>
        <w:t xml:space="preserve"> первичному эндопротезированию.</w:t>
      </w:r>
    </w:p>
    <w:p w:rsidR="00321533" w:rsidRPr="00833CE8" w:rsidRDefault="00321533" w:rsidP="00833CE8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Первичные и удлиненные ножки с полным гидроксилапатитовым покрытием эффективны в 90% наблюдений замены бедренных компонентов. Их применение позволяет существенно снизить экономические затраты при сохранении высокого качества ревизионной операции.</w:t>
      </w:r>
      <w:bookmarkStart w:id="0" w:name="_GoBack"/>
      <w:bookmarkEnd w:id="0"/>
    </w:p>
    <w:sectPr w:rsidR="00321533" w:rsidRPr="00833CE8" w:rsidSect="00117F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276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44D" w:rsidRDefault="00F2344D" w:rsidP="009A3E8F">
      <w:pPr>
        <w:spacing w:after="0" w:line="240" w:lineRule="auto"/>
      </w:pPr>
      <w:r>
        <w:separator/>
      </w:r>
    </w:p>
  </w:endnote>
  <w:endnote w:type="continuationSeparator" w:id="0">
    <w:p w:rsidR="00F2344D" w:rsidRDefault="00F2344D" w:rsidP="009A3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8E" w:rsidRDefault="00117F8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8E" w:rsidRDefault="00117F8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8E" w:rsidRDefault="00117F8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44D" w:rsidRDefault="00F2344D" w:rsidP="009A3E8F">
      <w:pPr>
        <w:spacing w:after="0" w:line="240" w:lineRule="auto"/>
      </w:pPr>
      <w:r>
        <w:separator/>
      </w:r>
    </w:p>
  </w:footnote>
  <w:footnote w:type="continuationSeparator" w:id="0">
    <w:p w:rsidR="00F2344D" w:rsidRDefault="00F2344D" w:rsidP="009A3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8E" w:rsidRDefault="00117F8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8277225"/>
      <w:docPartObj>
        <w:docPartGallery w:val="Page Numbers (Top of Page)"/>
        <w:docPartUnique/>
      </w:docPartObj>
    </w:sdtPr>
    <w:sdtEndPr/>
    <w:sdtContent>
      <w:p w:rsidR="00117F8E" w:rsidRDefault="00117F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533">
          <w:rPr>
            <w:noProof/>
          </w:rPr>
          <w:t>3</w:t>
        </w:r>
        <w:r>
          <w:fldChar w:fldCharType="end"/>
        </w:r>
      </w:p>
    </w:sdtContent>
  </w:sdt>
  <w:p w:rsidR="009A3E8F" w:rsidRDefault="009A3E8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F8E" w:rsidRDefault="00117F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26614"/>
    <w:multiLevelType w:val="hybridMultilevel"/>
    <w:tmpl w:val="A216A5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D5933F6"/>
    <w:multiLevelType w:val="hybridMultilevel"/>
    <w:tmpl w:val="24C04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0BA4F8D"/>
    <w:multiLevelType w:val="hybridMultilevel"/>
    <w:tmpl w:val="52EA3C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156"/>
    <w:rsid w:val="00117F8E"/>
    <w:rsid w:val="001A48B9"/>
    <w:rsid w:val="00225022"/>
    <w:rsid w:val="00230FB5"/>
    <w:rsid w:val="00235341"/>
    <w:rsid w:val="002358E8"/>
    <w:rsid w:val="00295416"/>
    <w:rsid w:val="002C577B"/>
    <w:rsid w:val="00321533"/>
    <w:rsid w:val="003716A2"/>
    <w:rsid w:val="003805E7"/>
    <w:rsid w:val="003D0E3E"/>
    <w:rsid w:val="00634676"/>
    <w:rsid w:val="00695156"/>
    <w:rsid w:val="006C6C1C"/>
    <w:rsid w:val="007541FE"/>
    <w:rsid w:val="00804050"/>
    <w:rsid w:val="00807E56"/>
    <w:rsid w:val="00833CE8"/>
    <w:rsid w:val="009358B7"/>
    <w:rsid w:val="009709A3"/>
    <w:rsid w:val="009A3E8F"/>
    <w:rsid w:val="009D498D"/>
    <w:rsid w:val="009E1035"/>
    <w:rsid w:val="00A66F6F"/>
    <w:rsid w:val="00AB7332"/>
    <w:rsid w:val="00BD3B26"/>
    <w:rsid w:val="00BF62C6"/>
    <w:rsid w:val="00C070A9"/>
    <w:rsid w:val="00D13FF6"/>
    <w:rsid w:val="00D215C1"/>
    <w:rsid w:val="00D36703"/>
    <w:rsid w:val="00D84812"/>
    <w:rsid w:val="00E45625"/>
    <w:rsid w:val="00EB4306"/>
    <w:rsid w:val="00ED46B6"/>
    <w:rsid w:val="00F2344D"/>
    <w:rsid w:val="00F26913"/>
    <w:rsid w:val="00F365FB"/>
    <w:rsid w:val="00F7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515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541F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A3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3E8F"/>
  </w:style>
  <w:style w:type="paragraph" w:styleId="a7">
    <w:name w:val="footer"/>
    <w:basedOn w:val="a"/>
    <w:link w:val="a8"/>
    <w:uiPriority w:val="99"/>
    <w:unhideWhenUsed/>
    <w:rsid w:val="009A3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3E8F"/>
  </w:style>
  <w:style w:type="paragraph" w:styleId="a9">
    <w:name w:val="Balloon Text"/>
    <w:basedOn w:val="a"/>
    <w:link w:val="aa"/>
    <w:uiPriority w:val="99"/>
    <w:semiHidden/>
    <w:unhideWhenUsed/>
    <w:rsid w:val="009A3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3E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515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541F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A3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3E8F"/>
  </w:style>
  <w:style w:type="paragraph" w:styleId="a7">
    <w:name w:val="footer"/>
    <w:basedOn w:val="a"/>
    <w:link w:val="a8"/>
    <w:uiPriority w:val="99"/>
    <w:unhideWhenUsed/>
    <w:rsid w:val="009A3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3E8F"/>
  </w:style>
  <w:style w:type="paragraph" w:styleId="a9">
    <w:name w:val="Balloon Text"/>
    <w:basedOn w:val="a"/>
    <w:link w:val="aa"/>
    <w:uiPriority w:val="99"/>
    <w:semiHidden/>
    <w:unhideWhenUsed/>
    <w:rsid w:val="009A3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3E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3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37</cp:revision>
  <dcterms:created xsi:type="dcterms:W3CDTF">2017-01-25T09:37:00Z</dcterms:created>
  <dcterms:modified xsi:type="dcterms:W3CDTF">2017-02-03T06:08:00Z</dcterms:modified>
</cp:coreProperties>
</file>