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83A54" w14:textId="37F46B1F" w:rsidR="005F354B" w:rsidRPr="001F60E0" w:rsidRDefault="007566EC" w:rsidP="001F60E0">
      <w:pPr>
        <w:ind w:firstLine="567"/>
        <w:jc w:val="center"/>
        <w:rPr>
          <w:rStyle w:val="a4"/>
          <w:b w:val="0"/>
          <w:color w:val="000000" w:themeColor="text1"/>
          <w:shd w:val="clear" w:color="auto" w:fill="FFFFFF"/>
        </w:rPr>
      </w:pPr>
      <w:r>
        <w:rPr>
          <w:rStyle w:val="a4"/>
          <w:b w:val="0"/>
          <w:color w:val="000000" w:themeColor="text1"/>
          <w:shd w:val="clear" w:color="auto" w:fill="FFFFFF"/>
        </w:rPr>
        <w:t>ВЫБОР МЕТОДА ЛЕЧЕНИЯ У ПАЦИЕНТОВ С ДИЗРАФИЧЕСКИМ СТАТУСОМ ПРИ РАЗЛИЧНЫХ ТИПАХ ВЕРТЕБРАЛЬНОГО</w:t>
      </w:r>
      <w:r w:rsidR="005F354B" w:rsidRPr="001F60E0">
        <w:rPr>
          <w:rStyle w:val="a4"/>
          <w:b w:val="0"/>
          <w:color w:val="000000" w:themeColor="text1"/>
          <w:shd w:val="clear" w:color="auto" w:fill="FFFFFF"/>
        </w:rPr>
        <w:t xml:space="preserve"> СИНДРОМ</w:t>
      </w:r>
      <w:r>
        <w:rPr>
          <w:rStyle w:val="a4"/>
          <w:b w:val="0"/>
          <w:color w:val="000000" w:themeColor="text1"/>
          <w:shd w:val="clear" w:color="auto" w:fill="FFFFFF"/>
        </w:rPr>
        <w:t>А</w:t>
      </w:r>
    </w:p>
    <w:p w14:paraId="471A5EC3" w14:textId="77777777" w:rsidR="00F7683A" w:rsidRPr="001F60E0" w:rsidRDefault="00F7683A" w:rsidP="001F60E0">
      <w:pPr>
        <w:ind w:firstLine="567"/>
        <w:jc w:val="both"/>
        <w:rPr>
          <w:rStyle w:val="a4"/>
          <w:b w:val="0"/>
          <w:color w:val="000000" w:themeColor="text1"/>
          <w:shd w:val="clear" w:color="auto" w:fill="FFFFFF"/>
        </w:rPr>
      </w:pPr>
    </w:p>
    <w:p w14:paraId="3EF1D223" w14:textId="206E04E0" w:rsidR="00353A53" w:rsidRPr="001F60E0" w:rsidRDefault="00353A53" w:rsidP="001F60E0">
      <w:pPr>
        <w:ind w:firstLine="567"/>
        <w:jc w:val="center"/>
        <w:rPr>
          <w:rStyle w:val="a4"/>
          <w:b w:val="0"/>
          <w:color w:val="000000" w:themeColor="text1"/>
          <w:shd w:val="clear" w:color="auto" w:fill="FFFFFF"/>
        </w:rPr>
      </w:pPr>
      <w:r w:rsidRPr="001F60E0">
        <w:rPr>
          <w:rStyle w:val="a4"/>
          <w:b w:val="0"/>
          <w:color w:val="000000" w:themeColor="text1"/>
          <w:shd w:val="clear" w:color="auto" w:fill="FFFFFF"/>
        </w:rPr>
        <w:t>С.О. Рябых, Д.М. Савин</w:t>
      </w:r>
    </w:p>
    <w:p w14:paraId="181ADDE5" w14:textId="77777777" w:rsidR="00353A53" w:rsidRPr="001F60E0" w:rsidRDefault="00353A53" w:rsidP="001F60E0">
      <w:pPr>
        <w:ind w:firstLine="567"/>
        <w:jc w:val="center"/>
      </w:pPr>
    </w:p>
    <w:p w14:paraId="51A672E6" w14:textId="1D85264B" w:rsidR="00353A53" w:rsidRPr="001F60E0" w:rsidRDefault="00353A53" w:rsidP="001F60E0">
      <w:pPr>
        <w:ind w:firstLine="567"/>
        <w:jc w:val="center"/>
      </w:pPr>
      <w:r w:rsidRPr="001F60E0">
        <w:t xml:space="preserve">Федеральное государственное бюджетное учреждение «Российский научный центр «Восстановительная травматология и ортопедия» имени академика Г.А. </w:t>
      </w:r>
      <w:proofErr w:type="spellStart"/>
      <w:r w:rsidRPr="001F60E0">
        <w:t>Илизарова</w:t>
      </w:r>
      <w:proofErr w:type="spellEnd"/>
      <w:r w:rsidRPr="001F60E0">
        <w:t>» Министерства здравоохранения Российской Федерации, г. Курган</w:t>
      </w:r>
    </w:p>
    <w:p w14:paraId="0CD4E4D8" w14:textId="77777777" w:rsidR="006B6C41" w:rsidRDefault="006B6C41" w:rsidP="001F60E0">
      <w:pPr>
        <w:ind w:firstLine="567"/>
        <w:jc w:val="center"/>
        <w:rPr>
          <w:rStyle w:val="a4"/>
          <w:b w:val="0"/>
          <w:color w:val="000000" w:themeColor="text1"/>
          <w:shd w:val="clear" w:color="auto" w:fill="FFFFFF"/>
        </w:rPr>
      </w:pPr>
    </w:p>
    <w:p w14:paraId="249A2D50" w14:textId="49C90C3C" w:rsidR="00167B43" w:rsidRPr="001F60E0" w:rsidRDefault="00167B43" w:rsidP="001F60E0">
      <w:pPr>
        <w:ind w:firstLine="567"/>
        <w:jc w:val="center"/>
        <w:rPr>
          <w:rStyle w:val="a4"/>
          <w:b w:val="0"/>
          <w:color w:val="000000" w:themeColor="text1"/>
          <w:shd w:val="clear" w:color="auto" w:fill="FFFFFF"/>
        </w:rPr>
      </w:pPr>
      <w:r>
        <w:rPr>
          <w:rStyle w:val="a4"/>
          <w:b w:val="0"/>
          <w:color w:val="000000" w:themeColor="text1"/>
          <w:shd w:val="clear" w:color="auto" w:fill="FFFFFF"/>
        </w:rPr>
        <w:t>Краткое введение</w:t>
      </w:r>
    </w:p>
    <w:p w14:paraId="3382BAB6" w14:textId="77777777" w:rsidR="00DE3BD9" w:rsidRPr="001F60E0" w:rsidRDefault="00543359" w:rsidP="001F60E0">
      <w:pPr>
        <w:ind w:firstLine="567"/>
        <w:jc w:val="both"/>
        <w:rPr>
          <w:rStyle w:val="a4"/>
          <w:b w:val="0"/>
          <w:color w:val="000000" w:themeColor="text1"/>
          <w:shd w:val="clear" w:color="auto" w:fill="FFFFFF"/>
        </w:rPr>
      </w:pPr>
      <w:r w:rsidRPr="001F60E0">
        <w:rPr>
          <w:rStyle w:val="a4"/>
          <w:color w:val="000000" w:themeColor="text1"/>
          <w:shd w:val="clear" w:color="auto" w:fill="FFFFFF"/>
        </w:rPr>
        <w:t>Целью</w:t>
      </w:r>
      <w:r w:rsidRPr="001F60E0">
        <w:rPr>
          <w:rStyle w:val="a4"/>
          <w:b w:val="0"/>
          <w:color w:val="000000" w:themeColor="text1"/>
          <w:shd w:val="clear" w:color="auto" w:fill="FFFFFF"/>
        </w:rPr>
        <w:t xml:space="preserve"> данной работы было разработка алгоритмов </w:t>
      </w:r>
      <w:r w:rsidR="00644B74" w:rsidRPr="001F60E0">
        <w:rPr>
          <w:rStyle w:val="a4"/>
          <w:b w:val="0"/>
          <w:color w:val="000000" w:themeColor="text1"/>
          <w:shd w:val="clear" w:color="auto" w:fill="FFFFFF"/>
        </w:rPr>
        <w:t xml:space="preserve">хирургического </w:t>
      </w:r>
      <w:r w:rsidRPr="001F60E0">
        <w:rPr>
          <w:rStyle w:val="a4"/>
          <w:b w:val="0"/>
          <w:color w:val="000000" w:themeColor="text1"/>
          <w:shd w:val="clear" w:color="auto" w:fill="FFFFFF"/>
        </w:rPr>
        <w:t xml:space="preserve">лечения пациентов с </w:t>
      </w:r>
      <w:r w:rsidR="00644B74" w:rsidRPr="001F60E0">
        <w:rPr>
          <w:rStyle w:val="a4"/>
          <w:b w:val="0"/>
          <w:color w:val="000000" w:themeColor="text1"/>
          <w:shd w:val="clear" w:color="auto" w:fill="FFFFFF"/>
        </w:rPr>
        <w:t>«</w:t>
      </w:r>
      <w:proofErr w:type="spellStart"/>
      <w:r w:rsidR="00644B74" w:rsidRPr="001F60E0">
        <w:rPr>
          <w:rStyle w:val="a4"/>
          <w:b w:val="0"/>
          <w:color w:val="000000" w:themeColor="text1"/>
          <w:shd w:val="clear" w:color="auto" w:fill="FFFFFF"/>
        </w:rPr>
        <w:t>дизрафическим</w:t>
      </w:r>
      <w:proofErr w:type="spellEnd"/>
      <w:r w:rsidR="00644B74" w:rsidRPr="001F60E0">
        <w:rPr>
          <w:rStyle w:val="a4"/>
          <w:b w:val="0"/>
          <w:color w:val="000000" w:themeColor="text1"/>
          <w:shd w:val="clear" w:color="auto" w:fill="FFFFFF"/>
        </w:rPr>
        <w:t xml:space="preserve"> статусом». </w:t>
      </w:r>
    </w:p>
    <w:p w14:paraId="290D4666" w14:textId="7F4FE41F" w:rsidR="002524A2" w:rsidRPr="001F60E0" w:rsidRDefault="00DE3BD9" w:rsidP="001F60E0">
      <w:pPr>
        <w:ind w:firstLine="567"/>
        <w:jc w:val="both"/>
        <w:rPr>
          <w:rStyle w:val="a4"/>
          <w:b w:val="0"/>
          <w:color w:val="000000" w:themeColor="text1"/>
          <w:shd w:val="clear" w:color="auto" w:fill="FFFFFF"/>
        </w:rPr>
      </w:pPr>
      <w:r w:rsidRPr="001F60E0">
        <w:rPr>
          <w:rStyle w:val="a4"/>
          <w:color w:val="000000" w:themeColor="text1"/>
          <w:shd w:val="clear" w:color="auto" w:fill="FFFFFF"/>
        </w:rPr>
        <w:t>Задачи:</w:t>
      </w:r>
      <w:r w:rsidR="00644B74" w:rsidRPr="001F60E0">
        <w:rPr>
          <w:rStyle w:val="a4"/>
          <w:b w:val="0"/>
          <w:color w:val="000000" w:themeColor="text1"/>
          <w:shd w:val="clear" w:color="auto" w:fill="FFFFFF"/>
        </w:rPr>
        <w:t xml:space="preserve"> </w:t>
      </w:r>
      <w:r w:rsidRPr="001F60E0">
        <w:rPr>
          <w:rStyle w:val="a4"/>
          <w:b w:val="0"/>
          <w:color w:val="000000" w:themeColor="text1"/>
          <w:shd w:val="clear" w:color="auto" w:fill="FFFFFF"/>
        </w:rPr>
        <w:t xml:space="preserve">выявить основополагающие </w:t>
      </w:r>
      <w:r w:rsidR="00C82692" w:rsidRPr="001F60E0">
        <w:rPr>
          <w:rStyle w:val="a4"/>
          <w:b w:val="0"/>
          <w:color w:val="000000" w:themeColor="text1"/>
          <w:shd w:val="clear" w:color="auto" w:fill="FFFFFF"/>
        </w:rPr>
        <w:t>синдромы при определении тактики лечения пациентов с «</w:t>
      </w:r>
      <w:proofErr w:type="spellStart"/>
      <w:r w:rsidR="00C82692" w:rsidRPr="001F60E0">
        <w:rPr>
          <w:rStyle w:val="a4"/>
          <w:b w:val="0"/>
          <w:color w:val="000000" w:themeColor="text1"/>
          <w:shd w:val="clear" w:color="auto" w:fill="FFFFFF"/>
        </w:rPr>
        <w:t>дизрафическим</w:t>
      </w:r>
      <w:proofErr w:type="spellEnd"/>
      <w:r w:rsidR="00C82692" w:rsidRPr="001F60E0">
        <w:rPr>
          <w:rStyle w:val="a4"/>
          <w:b w:val="0"/>
          <w:color w:val="000000" w:themeColor="text1"/>
          <w:shd w:val="clear" w:color="auto" w:fill="FFFFFF"/>
        </w:rPr>
        <w:t xml:space="preserve"> статусом»</w:t>
      </w:r>
    </w:p>
    <w:p w14:paraId="07B5B4D7" w14:textId="30F8ECA0" w:rsidR="00763CC1" w:rsidRPr="001F60E0" w:rsidRDefault="00763CC1" w:rsidP="001F60E0">
      <w:pPr>
        <w:ind w:firstLine="567"/>
        <w:jc w:val="both"/>
        <w:rPr>
          <w:rStyle w:val="a4"/>
          <w:color w:val="000000" w:themeColor="text1"/>
          <w:shd w:val="clear" w:color="auto" w:fill="FFFFFF"/>
        </w:rPr>
      </w:pPr>
      <w:r w:rsidRPr="001F60E0">
        <w:rPr>
          <w:rStyle w:val="a4"/>
          <w:color w:val="000000" w:themeColor="text1"/>
          <w:shd w:val="clear" w:color="auto" w:fill="FFFFFF"/>
        </w:rPr>
        <w:t xml:space="preserve">Материалы и методы </w:t>
      </w:r>
    </w:p>
    <w:p w14:paraId="4E2EAFBF" w14:textId="20F2DB17" w:rsidR="00C82692" w:rsidRPr="001F60E0" w:rsidRDefault="00C82692" w:rsidP="001F60E0">
      <w:pPr>
        <w:pStyle w:val="a3"/>
        <w:ind w:left="0" w:firstLine="567"/>
        <w:jc w:val="both"/>
        <w:rPr>
          <w:color w:val="000000" w:themeColor="text1"/>
        </w:rPr>
      </w:pPr>
      <w:r w:rsidRPr="001F60E0">
        <w:rPr>
          <w:color w:val="000000" w:themeColor="text1"/>
        </w:rPr>
        <w:t>Ретроспективное исследование 44 пациентов с «</w:t>
      </w:r>
      <w:proofErr w:type="spellStart"/>
      <w:r w:rsidRPr="001F60E0">
        <w:rPr>
          <w:color w:val="000000" w:themeColor="text1"/>
        </w:rPr>
        <w:t>дизрафическим</w:t>
      </w:r>
      <w:proofErr w:type="spellEnd"/>
      <w:r w:rsidRPr="001F60E0">
        <w:rPr>
          <w:color w:val="000000" w:themeColor="text1"/>
        </w:rPr>
        <w:t xml:space="preserve"> статусом». 43 человека были прооперированы в Клинике, родители 1 пациентки от оперативного лечения воздержались в связи с высоким риском </w:t>
      </w:r>
      <w:proofErr w:type="spellStart"/>
      <w:r w:rsidRPr="001F60E0">
        <w:rPr>
          <w:color w:val="000000" w:themeColor="text1"/>
        </w:rPr>
        <w:t>интра</w:t>
      </w:r>
      <w:proofErr w:type="spellEnd"/>
      <w:r w:rsidRPr="001F60E0">
        <w:rPr>
          <w:color w:val="000000" w:themeColor="text1"/>
        </w:rPr>
        <w:t>- и послеоперационных осложнений.</w:t>
      </w:r>
    </w:p>
    <w:p w14:paraId="07BEF6D0" w14:textId="40E74026" w:rsidR="00FD16A4" w:rsidRPr="00167B43" w:rsidRDefault="00167B43" w:rsidP="00167B43">
      <w:pPr>
        <w:pStyle w:val="a3"/>
        <w:ind w:left="0" w:firstLine="567"/>
        <w:jc w:val="both"/>
        <w:rPr>
          <w:color w:val="000000" w:themeColor="text1"/>
        </w:rPr>
      </w:pPr>
      <w:proofErr w:type="spellStart"/>
      <w:r w:rsidRPr="001F60E0">
        <w:rPr>
          <w:color w:val="000000" w:themeColor="text1"/>
        </w:rPr>
        <w:t>Вертебральный</w:t>
      </w:r>
      <w:proofErr w:type="spellEnd"/>
      <w:r w:rsidRPr="001F60E0">
        <w:rPr>
          <w:color w:val="000000" w:themeColor="text1"/>
        </w:rPr>
        <w:t xml:space="preserve"> синдром определен как основополагающий в выборе хирургической тактики.</w:t>
      </w:r>
      <w:r>
        <w:rPr>
          <w:color w:val="000000" w:themeColor="text1"/>
        </w:rPr>
        <w:t xml:space="preserve"> </w:t>
      </w:r>
      <w:r w:rsidR="00FD16A4" w:rsidRPr="001F60E0">
        <w:t xml:space="preserve">В зависимости от варианта </w:t>
      </w:r>
      <w:proofErr w:type="spellStart"/>
      <w:r w:rsidR="00FD16A4" w:rsidRPr="001F60E0">
        <w:t>дизрафии</w:t>
      </w:r>
      <w:proofErr w:type="spellEnd"/>
      <w:r w:rsidR="00FD16A4" w:rsidRPr="001F60E0">
        <w:t xml:space="preserve"> пациенты поделены на 3 группы:</w:t>
      </w:r>
    </w:p>
    <w:p w14:paraId="440F34CC" w14:textId="77777777" w:rsidR="00FD16A4" w:rsidRPr="001F60E0" w:rsidRDefault="00FD16A4" w:rsidP="001F60E0">
      <w:pPr>
        <w:ind w:firstLine="567"/>
        <w:jc w:val="both"/>
      </w:pPr>
      <w:r w:rsidRPr="001F60E0">
        <w:t xml:space="preserve">1 группа - </w:t>
      </w:r>
      <w:proofErr w:type="spellStart"/>
      <w:r w:rsidRPr="001F60E0">
        <w:t>Миелоцеле</w:t>
      </w:r>
      <w:proofErr w:type="spellEnd"/>
      <w:r w:rsidRPr="001F60E0">
        <w:t xml:space="preserve"> - спинномозговая грыжа (СМГ);</w:t>
      </w:r>
    </w:p>
    <w:p w14:paraId="16694889" w14:textId="77777777" w:rsidR="00FD16A4" w:rsidRPr="001F60E0" w:rsidRDefault="00FD16A4" w:rsidP="001F60E0">
      <w:pPr>
        <w:ind w:firstLine="567"/>
        <w:jc w:val="both"/>
      </w:pPr>
      <w:r w:rsidRPr="001F60E0">
        <w:t xml:space="preserve">2 группа - </w:t>
      </w:r>
      <w:proofErr w:type="spellStart"/>
      <w:r w:rsidRPr="001F60E0">
        <w:t>Диастематомиелия</w:t>
      </w:r>
      <w:proofErr w:type="spellEnd"/>
      <w:r w:rsidRPr="001F60E0">
        <w:t xml:space="preserve"> – </w:t>
      </w:r>
      <w:proofErr w:type="spellStart"/>
      <w:r w:rsidRPr="001F60E0">
        <w:t>Split</w:t>
      </w:r>
      <w:proofErr w:type="spellEnd"/>
      <w:r w:rsidRPr="001F60E0">
        <w:t xml:space="preserve"> </w:t>
      </w:r>
      <w:proofErr w:type="spellStart"/>
      <w:r w:rsidRPr="001F60E0">
        <w:t>Cord</w:t>
      </w:r>
      <w:proofErr w:type="spellEnd"/>
      <w:r w:rsidRPr="001F60E0">
        <w:t xml:space="preserve"> </w:t>
      </w:r>
      <w:proofErr w:type="spellStart"/>
      <w:r w:rsidRPr="001F60E0">
        <w:t>Malformation</w:t>
      </w:r>
      <w:proofErr w:type="spellEnd"/>
      <w:r w:rsidRPr="001F60E0">
        <w:t xml:space="preserve"> (</w:t>
      </w:r>
      <w:r w:rsidRPr="001F60E0">
        <w:rPr>
          <w:lang w:val="en-US"/>
        </w:rPr>
        <w:t>SCM</w:t>
      </w:r>
      <w:r w:rsidRPr="001F60E0">
        <w:t xml:space="preserve">) – вариант </w:t>
      </w:r>
      <w:proofErr w:type="spellStart"/>
      <w:r w:rsidRPr="001F60E0">
        <w:t>дизрафии</w:t>
      </w:r>
      <w:proofErr w:type="spellEnd"/>
      <w:r w:rsidRPr="001F60E0">
        <w:t>, характеризующийся сочетанием расщепления позвоночника и спинного мозга;</w:t>
      </w:r>
    </w:p>
    <w:p w14:paraId="60105BC0" w14:textId="77777777" w:rsidR="00FD16A4" w:rsidRPr="001F60E0" w:rsidRDefault="00FD16A4" w:rsidP="001F60E0">
      <w:pPr>
        <w:ind w:firstLine="567"/>
        <w:jc w:val="both"/>
      </w:pPr>
      <w:r w:rsidRPr="001F60E0">
        <w:t xml:space="preserve">3 группа - Сочетание СМГ + </w:t>
      </w:r>
      <w:r w:rsidRPr="001F60E0">
        <w:rPr>
          <w:lang w:val="en-US"/>
        </w:rPr>
        <w:t>SCM</w:t>
      </w:r>
      <w:r w:rsidRPr="001F60E0">
        <w:t xml:space="preserve"> – наиболее сложный вариант аномалии развития позвоночника.</w:t>
      </w:r>
    </w:p>
    <w:p w14:paraId="18A8DB54" w14:textId="163EB296" w:rsidR="00C82692" w:rsidRPr="001F60E0" w:rsidRDefault="00F302BA" w:rsidP="001F60E0">
      <w:pPr>
        <w:pStyle w:val="a3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Исходя из этого нами предложены основные варианты хирургического лечения:</w:t>
      </w:r>
    </w:p>
    <w:p w14:paraId="1E80B644" w14:textId="14CFBF70" w:rsidR="001F60E0" w:rsidRPr="001F60E0" w:rsidRDefault="001F60E0" w:rsidP="001F60E0">
      <w:pPr>
        <w:tabs>
          <w:tab w:val="left" w:pos="567"/>
          <w:tab w:val="left" w:pos="851"/>
        </w:tabs>
        <w:ind w:firstLine="567"/>
        <w:contextualSpacing/>
        <w:jc w:val="both"/>
      </w:pPr>
      <w:r w:rsidRPr="001F60E0">
        <w:rPr>
          <w:lang w:val="en-US"/>
        </w:rPr>
        <w:t>I</w:t>
      </w:r>
      <w:r w:rsidRPr="001F60E0">
        <w:t>. Коррекция с помощью систем «телескопического» типа показана у детей с мобильными деформациями с потенциалом роста;</w:t>
      </w:r>
    </w:p>
    <w:p w14:paraId="4ADD222C" w14:textId="77777777" w:rsidR="001F60E0" w:rsidRPr="001F60E0" w:rsidRDefault="001F60E0" w:rsidP="001F60E0">
      <w:pPr>
        <w:tabs>
          <w:tab w:val="left" w:pos="567"/>
          <w:tab w:val="left" w:pos="851"/>
        </w:tabs>
        <w:ind w:firstLine="567"/>
        <w:contextualSpacing/>
        <w:jc w:val="both"/>
      </w:pPr>
      <w:r w:rsidRPr="001F60E0">
        <w:rPr>
          <w:lang w:val="en-US"/>
        </w:rPr>
        <w:t>II</w:t>
      </w:r>
      <w:r w:rsidRPr="001F60E0">
        <w:t xml:space="preserve">. Клиновидная корригирующая укорачивающая VCR </w:t>
      </w:r>
      <w:proofErr w:type="spellStart"/>
      <w:r w:rsidRPr="001F60E0">
        <w:t>вертебротомия</w:t>
      </w:r>
      <w:proofErr w:type="spellEnd"/>
      <w:r w:rsidRPr="001F60E0">
        <w:t xml:space="preserve">, дорсальная коррекция и стабилизация деформации транспедикулярной системой с формированием спондилодеза на 360° у пациентов с ригидными кифозами на фоне </w:t>
      </w:r>
      <w:proofErr w:type="spellStart"/>
      <w:r w:rsidRPr="001F60E0">
        <w:t>миелоцеле</w:t>
      </w:r>
      <w:proofErr w:type="spellEnd"/>
      <w:r w:rsidRPr="001F60E0">
        <w:t xml:space="preserve"> более 30° по </w:t>
      </w:r>
      <w:r w:rsidRPr="001F60E0">
        <w:rPr>
          <w:lang w:val="en-US"/>
        </w:rPr>
        <w:t>Cobb</w:t>
      </w:r>
      <w:r w:rsidRPr="001F60E0">
        <w:t>;</w:t>
      </w:r>
    </w:p>
    <w:p w14:paraId="2074D92A" w14:textId="77777777" w:rsidR="001F60E0" w:rsidRPr="001F60E0" w:rsidRDefault="001F60E0" w:rsidP="001F60E0">
      <w:pPr>
        <w:tabs>
          <w:tab w:val="left" w:pos="567"/>
          <w:tab w:val="left" w:pos="851"/>
        </w:tabs>
        <w:ind w:firstLine="567"/>
        <w:contextualSpacing/>
        <w:jc w:val="both"/>
      </w:pPr>
      <w:r w:rsidRPr="001F60E0">
        <w:rPr>
          <w:lang w:val="en-US"/>
        </w:rPr>
        <w:t>III</w:t>
      </w:r>
      <w:r w:rsidRPr="001F60E0">
        <w:t xml:space="preserve">. Этапное лечение с комбинацией систем внешней </w:t>
      </w:r>
      <w:proofErr w:type="gramStart"/>
      <w:r w:rsidRPr="001F60E0">
        <w:t>фиксации  с</w:t>
      </w:r>
      <w:proofErr w:type="gramEnd"/>
      <w:r w:rsidRPr="001F60E0">
        <w:t xml:space="preserve"> методиками вертебротомии у пациентов с ригидными кифозами более 30°, осложненными пролежнями на вершине деформации: 1 этап: </w:t>
      </w:r>
      <w:proofErr w:type="spellStart"/>
      <w:r w:rsidRPr="001F60E0">
        <w:t>Внеочаговый</w:t>
      </w:r>
      <w:proofErr w:type="spellEnd"/>
      <w:r w:rsidRPr="001F60E0">
        <w:t xml:space="preserve"> остеосинтез (</w:t>
      </w:r>
      <w:proofErr w:type="spellStart"/>
      <w:r w:rsidRPr="001F60E0">
        <w:t>halo-pelvic</w:t>
      </w:r>
      <w:proofErr w:type="spellEnd"/>
      <w:r w:rsidRPr="001F60E0">
        <w:t xml:space="preserve">, аппарат НТПФ, гибридные </w:t>
      </w:r>
      <w:proofErr w:type="spellStart"/>
      <w:r w:rsidRPr="001F60E0">
        <w:t>варивнты</w:t>
      </w:r>
      <w:proofErr w:type="spellEnd"/>
      <w:r w:rsidRPr="001F60E0">
        <w:t xml:space="preserve">) в режиме поддерживающей </w:t>
      </w:r>
      <w:proofErr w:type="spellStart"/>
      <w:r w:rsidRPr="001F60E0">
        <w:t>дистракции</w:t>
      </w:r>
      <w:proofErr w:type="spellEnd"/>
      <w:r w:rsidRPr="001F60E0">
        <w:t xml:space="preserve">; 2 этап: Клиновидная корригирующая укорачивающая VCR </w:t>
      </w:r>
      <w:proofErr w:type="spellStart"/>
      <w:r w:rsidRPr="001F60E0">
        <w:t>вертебротомия</w:t>
      </w:r>
      <w:proofErr w:type="spellEnd"/>
      <w:r w:rsidRPr="001F60E0">
        <w:t>, дорсальная коррекция и стабилизация деформации транспедикулярной системой с формированием спондилодеза на 360°;</w:t>
      </w:r>
    </w:p>
    <w:p w14:paraId="3DBBD84E" w14:textId="77777777" w:rsidR="001F60E0" w:rsidRPr="001F60E0" w:rsidRDefault="001F60E0" w:rsidP="001F60E0">
      <w:pPr>
        <w:tabs>
          <w:tab w:val="left" w:pos="567"/>
          <w:tab w:val="left" w:pos="851"/>
        </w:tabs>
        <w:ind w:firstLine="567"/>
        <w:contextualSpacing/>
        <w:jc w:val="both"/>
      </w:pPr>
      <w:r w:rsidRPr="001F60E0">
        <w:rPr>
          <w:lang w:val="en-US"/>
        </w:rPr>
        <w:t>IV</w:t>
      </w:r>
      <w:r w:rsidRPr="001F60E0">
        <w:t xml:space="preserve">. Коррекция и стабилизация деформации транспедикулярной системой с формированием дорсального </w:t>
      </w:r>
      <w:proofErr w:type="spellStart"/>
      <w:r w:rsidRPr="001F60E0">
        <w:t>спондилодеза</w:t>
      </w:r>
      <w:proofErr w:type="spellEnd"/>
      <w:r w:rsidRPr="001F60E0">
        <w:t xml:space="preserve"> при </w:t>
      </w:r>
      <w:proofErr w:type="spellStart"/>
      <w:proofErr w:type="gramStart"/>
      <w:r w:rsidRPr="001F60E0">
        <w:t>кифо</w:t>
      </w:r>
      <w:proofErr w:type="spellEnd"/>
      <w:r w:rsidRPr="001F60E0">
        <w:t>(</w:t>
      </w:r>
      <w:proofErr w:type="spellStart"/>
      <w:proofErr w:type="gramEnd"/>
      <w:r w:rsidRPr="001F60E0">
        <w:t>лордо</w:t>
      </w:r>
      <w:proofErr w:type="spellEnd"/>
      <w:r w:rsidRPr="001F60E0">
        <w:t>)сколиозе у детей с низким потенциалом роста;</w:t>
      </w:r>
    </w:p>
    <w:p w14:paraId="6A65FD14" w14:textId="77777777" w:rsidR="001F60E0" w:rsidRPr="001F60E0" w:rsidRDefault="001F60E0" w:rsidP="001F60E0">
      <w:pPr>
        <w:tabs>
          <w:tab w:val="left" w:pos="567"/>
          <w:tab w:val="left" w:pos="851"/>
        </w:tabs>
        <w:ind w:firstLine="567"/>
        <w:contextualSpacing/>
        <w:jc w:val="both"/>
      </w:pPr>
      <w:r w:rsidRPr="001F60E0">
        <w:rPr>
          <w:lang w:val="en-US"/>
        </w:rPr>
        <w:t>V</w:t>
      </w:r>
      <w:r w:rsidRPr="001F60E0">
        <w:t>. Устранение фиксации спинного мозга, реконструкция позвоночного канала и ТМО, формирование локального заднего спондилодеза;</w:t>
      </w:r>
    </w:p>
    <w:p w14:paraId="65AAD2D0" w14:textId="77777777" w:rsidR="001F60E0" w:rsidRPr="001F60E0" w:rsidRDefault="001F60E0" w:rsidP="001F60E0">
      <w:pPr>
        <w:tabs>
          <w:tab w:val="left" w:pos="567"/>
          <w:tab w:val="left" w:pos="851"/>
        </w:tabs>
        <w:ind w:firstLine="567"/>
        <w:contextualSpacing/>
        <w:jc w:val="both"/>
      </w:pPr>
      <w:r w:rsidRPr="001F60E0">
        <w:rPr>
          <w:lang w:val="en-US"/>
        </w:rPr>
        <w:t>VI</w:t>
      </w:r>
      <w:r w:rsidRPr="001F60E0">
        <w:t>. Устранение фиксации спинного мозга, реконструкция позвоночного канала и ТМО, дорсальная коррекция и стабилизация деформации транспедикулярной системой с формированием локального заднего спондилодеза.</w:t>
      </w:r>
    </w:p>
    <w:p w14:paraId="34FBBF31" w14:textId="77777777" w:rsidR="00AA7215" w:rsidRPr="00AA7215" w:rsidRDefault="00AA7215" w:rsidP="00AA7215">
      <w:pPr>
        <w:autoSpaceDE w:val="0"/>
        <w:autoSpaceDN w:val="0"/>
        <w:adjustRightInd w:val="0"/>
        <w:ind w:firstLine="567"/>
        <w:rPr>
          <w:rFonts w:eastAsia="Calibri"/>
          <w:b/>
          <w:lang w:eastAsia="en-US"/>
        </w:rPr>
      </w:pPr>
      <w:r w:rsidRPr="00AA7215">
        <w:rPr>
          <w:rFonts w:eastAsia="Calibri"/>
          <w:b/>
          <w:lang w:eastAsia="en-US"/>
        </w:rPr>
        <w:t>Заключение.</w:t>
      </w:r>
    </w:p>
    <w:p w14:paraId="38E278B1" w14:textId="77777777" w:rsidR="00AA7215" w:rsidRPr="00AA7215" w:rsidRDefault="00AA7215" w:rsidP="00AA7215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 w:rsidRPr="00AA7215">
        <w:rPr>
          <w:rFonts w:eastAsia="Calibri"/>
          <w:lang w:eastAsia="en-US"/>
        </w:rPr>
        <w:t xml:space="preserve">Хирургическое лечение является этапом общей стратегии лечения пациента. План лечения, в том числе оперативного, может быть реализован только при возможности многопрофильного обследования, мониторинга состояния и заключения консилиума с </w:t>
      </w:r>
      <w:r w:rsidRPr="00AA7215">
        <w:rPr>
          <w:rFonts w:eastAsia="Calibri"/>
          <w:lang w:eastAsia="en-US"/>
        </w:rPr>
        <w:lastRenderedPageBreak/>
        <w:t xml:space="preserve">учетом рекомендаций ортопеда, педиатра, невролога, анестезиолога-реаниматолога, врача лучевой диагностики, физиолога, </w:t>
      </w:r>
      <w:proofErr w:type="spellStart"/>
      <w:r w:rsidRPr="00AA7215">
        <w:rPr>
          <w:rFonts w:eastAsia="Calibri"/>
          <w:lang w:eastAsia="en-US"/>
        </w:rPr>
        <w:t>реабилитолога</w:t>
      </w:r>
      <w:proofErr w:type="spellEnd"/>
      <w:r w:rsidRPr="00AA7215">
        <w:rPr>
          <w:rFonts w:eastAsia="Calibri"/>
          <w:lang w:eastAsia="en-US"/>
        </w:rPr>
        <w:t>.</w:t>
      </w:r>
    </w:p>
    <w:p w14:paraId="633CF97D" w14:textId="77777777" w:rsidR="00AA7215" w:rsidRPr="00AA7215" w:rsidRDefault="00AA7215" w:rsidP="00AA7215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 w:rsidRPr="00AA7215">
        <w:rPr>
          <w:rFonts w:eastAsia="Calibri"/>
          <w:lang w:eastAsia="en-US"/>
        </w:rPr>
        <w:t xml:space="preserve">Хирургическая коррекция при вторичных деформациях позвоночника не влияет на динамику основного заболевания, но значительно улучшает качество жизни, за счет уменьшения функционального дефицита и улучшения баланса туловища. </w:t>
      </w:r>
      <w:r w:rsidRPr="00AA7215">
        <w:t>Все перечисленные факторы переводят пациентов на более высокий функциональный уровень, что объективно отражает повышение качества их жизни.</w:t>
      </w:r>
    </w:p>
    <w:p w14:paraId="353C0C6C" w14:textId="77777777" w:rsidR="00AA7215" w:rsidRPr="00AA7215" w:rsidRDefault="00AA7215" w:rsidP="00AA7215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 w:rsidRPr="00AA7215">
        <w:rPr>
          <w:rFonts w:eastAsia="Calibri"/>
          <w:lang w:eastAsia="en-US"/>
        </w:rPr>
        <w:t>Быстропрогрессирующие деформации позвоночника требуют раннего оперативного лечения при сохранении параметров легочной вентиляции на адекватном уровне.</w:t>
      </w:r>
    </w:p>
    <w:p w14:paraId="5BB5672C" w14:textId="77777777" w:rsidR="00AA7215" w:rsidRPr="00AA7215" w:rsidRDefault="00AA7215" w:rsidP="00AA7215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 w:rsidRPr="00AA7215">
        <w:rPr>
          <w:rFonts w:eastAsia="Calibri"/>
          <w:lang w:eastAsia="en-US"/>
        </w:rPr>
        <w:t xml:space="preserve">Основная цель оперативного лечения - перевод деформации в компенсированную форму с возможностью </w:t>
      </w:r>
      <w:proofErr w:type="spellStart"/>
      <w:r w:rsidRPr="00AA7215">
        <w:rPr>
          <w:rFonts w:eastAsia="Calibri"/>
          <w:lang w:eastAsia="en-US"/>
        </w:rPr>
        <w:t>вертикализации</w:t>
      </w:r>
      <w:proofErr w:type="spellEnd"/>
      <w:r w:rsidRPr="00AA7215">
        <w:rPr>
          <w:rFonts w:eastAsia="Calibri"/>
          <w:lang w:eastAsia="en-US"/>
        </w:rPr>
        <w:t>. Подход к каждому пациенту должен быть строго индивидуален с учетом сопутствующей патологии. Так, например, при аномалии Арнольда-</w:t>
      </w:r>
      <w:proofErr w:type="spellStart"/>
      <w:r w:rsidRPr="00AA7215">
        <w:rPr>
          <w:rFonts w:eastAsia="Calibri"/>
          <w:lang w:eastAsia="en-US"/>
        </w:rPr>
        <w:t>Киари</w:t>
      </w:r>
      <w:proofErr w:type="spellEnd"/>
      <w:r w:rsidRPr="00AA7215">
        <w:rPr>
          <w:rFonts w:eastAsia="Calibri"/>
          <w:lang w:eastAsia="en-US"/>
        </w:rPr>
        <w:t xml:space="preserve"> дистракционные усилия не приемлемы и необходим укорачивающий маневр, а при </w:t>
      </w:r>
      <w:proofErr w:type="spellStart"/>
      <w:r w:rsidRPr="00AA7215">
        <w:rPr>
          <w:rFonts w:eastAsia="Calibri"/>
          <w:lang w:eastAsia="en-US"/>
        </w:rPr>
        <w:t>диастематомиелии</w:t>
      </w:r>
      <w:proofErr w:type="spellEnd"/>
      <w:r w:rsidRPr="00AA7215">
        <w:rPr>
          <w:rFonts w:eastAsia="Calibri"/>
          <w:lang w:eastAsia="en-US"/>
        </w:rPr>
        <w:t xml:space="preserve"> первым этапом всегда проводится реконструкция позвоночного канала и </w:t>
      </w:r>
      <w:proofErr w:type="spellStart"/>
      <w:r w:rsidRPr="00AA7215">
        <w:rPr>
          <w:rFonts w:eastAsia="Calibri"/>
          <w:lang w:eastAsia="en-US"/>
        </w:rPr>
        <w:t>дефиксация</w:t>
      </w:r>
      <w:proofErr w:type="spellEnd"/>
      <w:r w:rsidRPr="00AA7215">
        <w:rPr>
          <w:rFonts w:eastAsia="Calibri"/>
          <w:lang w:eastAsia="en-US"/>
        </w:rPr>
        <w:t xml:space="preserve"> спинного мозга.</w:t>
      </w:r>
    </w:p>
    <w:p w14:paraId="674891F9" w14:textId="77777777" w:rsidR="00C82692" w:rsidRDefault="00C82692" w:rsidP="001F60E0">
      <w:pPr>
        <w:pStyle w:val="a3"/>
        <w:ind w:left="0" w:firstLine="567"/>
        <w:jc w:val="both"/>
        <w:rPr>
          <w:b/>
          <w:color w:val="000000" w:themeColor="text1"/>
        </w:rPr>
      </w:pPr>
      <w:r w:rsidRPr="002E21EE">
        <w:rPr>
          <w:b/>
          <w:color w:val="000000" w:themeColor="text1"/>
        </w:rPr>
        <w:t>Выводы:</w:t>
      </w:r>
    </w:p>
    <w:p w14:paraId="2C543181" w14:textId="77777777" w:rsidR="002E21EE" w:rsidRPr="002E21EE" w:rsidRDefault="002E21EE" w:rsidP="002E21EE">
      <w:pPr>
        <w:pStyle w:val="a3"/>
        <w:numPr>
          <w:ilvl w:val="0"/>
          <w:numId w:val="35"/>
        </w:numPr>
        <w:tabs>
          <w:tab w:val="left" w:pos="993"/>
        </w:tabs>
        <w:ind w:left="284"/>
        <w:jc w:val="both"/>
        <w:rPr>
          <w:rFonts w:eastAsiaTheme="minorHAnsi"/>
        </w:rPr>
      </w:pPr>
      <w:r w:rsidRPr="002E21EE">
        <w:rPr>
          <w:rFonts w:eastAsiaTheme="minorHAnsi"/>
        </w:rPr>
        <w:t xml:space="preserve">Синдромальная оценка играет определяющую роль в определении реабилитационного потенциала конкретного пациента и определяет риск, метод, </w:t>
      </w:r>
      <w:proofErr w:type="spellStart"/>
      <w:r w:rsidRPr="002E21EE">
        <w:rPr>
          <w:rFonts w:eastAsiaTheme="minorHAnsi"/>
        </w:rPr>
        <w:t>этапность</w:t>
      </w:r>
      <w:proofErr w:type="spellEnd"/>
      <w:r w:rsidRPr="002E21EE">
        <w:rPr>
          <w:rFonts w:eastAsiaTheme="minorHAnsi"/>
        </w:rPr>
        <w:t xml:space="preserve"> и место хирургического лечения в общем комплексе реабилитации или </w:t>
      </w:r>
      <w:proofErr w:type="spellStart"/>
      <w:r w:rsidRPr="002E21EE">
        <w:rPr>
          <w:rFonts w:eastAsiaTheme="minorHAnsi"/>
        </w:rPr>
        <w:t>абилитации</w:t>
      </w:r>
      <w:proofErr w:type="spellEnd"/>
      <w:r w:rsidRPr="002E21EE">
        <w:rPr>
          <w:rFonts w:eastAsiaTheme="minorHAnsi"/>
        </w:rPr>
        <w:t>.</w:t>
      </w:r>
    </w:p>
    <w:p w14:paraId="4008702D" w14:textId="77777777" w:rsidR="002E21EE" w:rsidRPr="002E21EE" w:rsidRDefault="002E21EE" w:rsidP="002E21EE">
      <w:pPr>
        <w:pStyle w:val="a3"/>
        <w:numPr>
          <w:ilvl w:val="0"/>
          <w:numId w:val="35"/>
        </w:numPr>
        <w:tabs>
          <w:tab w:val="left" w:pos="142"/>
          <w:tab w:val="left" w:pos="851"/>
        </w:tabs>
        <w:ind w:left="284"/>
        <w:jc w:val="both"/>
      </w:pPr>
      <w:r w:rsidRPr="002E21EE">
        <w:t xml:space="preserve">Отсутствие или несвоевременное выполнение </w:t>
      </w:r>
      <w:proofErr w:type="spellStart"/>
      <w:r w:rsidRPr="002E21EE">
        <w:t>нейровертебральной</w:t>
      </w:r>
      <w:proofErr w:type="spellEnd"/>
      <w:r w:rsidRPr="002E21EE">
        <w:t xml:space="preserve"> реконструкции позвоночного канала приводит к </w:t>
      </w:r>
      <w:proofErr w:type="spellStart"/>
      <w:r w:rsidRPr="002E21EE">
        <w:t>аутохтонному</w:t>
      </w:r>
      <w:proofErr w:type="spellEnd"/>
      <w:r w:rsidRPr="002E21EE">
        <w:t xml:space="preserve"> каскаду прогрессирования синдрома фиксации спинного мозга с усугублением неврологического статуса, декомпенсации комбинированной деформации позвоночника, нарушению баланса туловища, торсионной деформации грудной клетки, дисфункции внутренних органов, что определяет </w:t>
      </w:r>
      <w:proofErr w:type="spellStart"/>
      <w:r w:rsidRPr="002E21EE">
        <w:t>прогностически</w:t>
      </w:r>
      <w:proofErr w:type="spellEnd"/>
      <w:r w:rsidRPr="002E21EE">
        <w:t xml:space="preserve"> жизненные показания хирургического лечения. Увеличивающаяся деформация позвоночника и грудной клетки неизбежно приводит к </w:t>
      </w:r>
      <w:proofErr w:type="spellStart"/>
      <w:r w:rsidRPr="002E21EE">
        <w:t>дистопии</w:t>
      </w:r>
      <w:proofErr w:type="spellEnd"/>
      <w:r w:rsidRPr="002E21EE">
        <w:t xml:space="preserve"> легких и сердца и, как следствие, к дыхательной и сердечно-сосудистой недостаточности. Нарушение функции тазовых органов в совокупности с прогрессирующей деформацией позвоночника вызывают нарушение пассажа мочи с </w:t>
      </w:r>
      <w:proofErr w:type="spellStart"/>
      <w:r w:rsidRPr="002E21EE">
        <w:t>уретерогидронефрозом</w:t>
      </w:r>
      <w:proofErr w:type="spellEnd"/>
      <w:r w:rsidRPr="002E21EE">
        <w:t>.</w:t>
      </w:r>
    </w:p>
    <w:p w14:paraId="46364DD1" w14:textId="6D203371" w:rsidR="002E21EE" w:rsidRPr="002E21EE" w:rsidRDefault="002E21EE" w:rsidP="002E21EE">
      <w:pPr>
        <w:pStyle w:val="a3"/>
        <w:numPr>
          <w:ilvl w:val="0"/>
          <w:numId w:val="35"/>
        </w:numPr>
        <w:ind w:left="284"/>
        <w:jc w:val="both"/>
        <w:rPr>
          <w:b/>
          <w:color w:val="000000" w:themeColor="text1"/>
        </w:rPr>
      </w:pPr>
      <w:r w:rsidRPr="002E21EE">
        <w:t xml:space="preserve">Своевременная </w:t>
      </w:r>
      <w:proofErr w:type="spellStart"/>
      <w:r w:rsidRPr="002E21EE">
        <w:t>нейровертебрологическая</w:t>
      </w:r>
      <w:proofErr w:type="spellEnd"/>
      <w:r w:rsidRPr="002E21EE">
        <w:t xml:space="preserve"> помощь позволяет сохранить и поддержать функциональный класс пациента когнитивный статус и улучшить образовательный потенциал.</w:t>
      </w:r>
      <w:bookmarkStart w:id="0" w:name="_GoBack"/>
      <w:bookmarkEnd w:id="0"/>
    </w:p>
    <w:sectPr w:rsidR="002E21EE" w:rsidRPr="002E21EE" w:rsidSect="00367AF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3D2A"/>
    <w:multiLevelType w:val="hybridMultilevel"/>
    <w:tmpl w:val="E9282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44B15"/>
    <w:multiLevelType w:val="hybridMultilevel"/>
    <w:tmpl w:val="1ED2B630"/>
    <w:lvl w:ilvl="0" w:tplc="69B606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541CF2"/>
    <w:multiLevelType w:val="hybridMultilevel"/>
    <w:tmpl w:val="051668A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7626384"/>
    <w:multiLevelType w:val="hybridMultilevel"/>
    <w:tmpl w:val="2530FF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93E485A"/>
    <w:multiLevelType w:val="hybridMultilevel"/>
    <w:tmpl w:val="71D43B42"/>
    <w:lvl w:ilvl="0" w:tplc="D58A8666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F6051B"/>
    <w:multiLevelType w:val="hybridMultilevel"/>
    <w:tmpl w:val="2028F236"/>
    <w:lvl w:ilvl="0" w:tplc="398E75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C7C56"/>
    <w:multiLevelType w:val="hybridMultilevel"/>
    <w:tmpl w:val="3D80C502"/>
    <w:lvl w:ilvl="0" w:tplc="4CDE3798">
      <w:start w:val="1"/>
      <w:numFmt w:val="decimal"/>
      <w:lvlText w:val="%1.)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8112A1"/>
    <w:multiLevelType w:val="hybridMultilevel"/>
    <w:tmpl w:val="D98C5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C3F48"/>
    <w:multiLevelType w:val="hybridMultilevel"/>
    <w:tmpl w:val="F828D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E2286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128DD"/>
    <w:multiLevelType w:val="hybridMultilevel"/>
    <w:tmpl w:val="31248798"/>
    <w:lvl w:ilvl="0" w:tplc="28103E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33BB7"/>
    <w:multiLevelType w:val="hybridMultilevel"/>
    <w:tmpl w:val="EC369928"/>
    <w:lvl w:ilvl="0" w:tplc="398E75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BB87906"/>
    <w:multiLevelType w:val="hybridMultilevel"/>
    <w:tmpl w:val="7F16F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A78F1"/>
    <w:multiLevelType w:val="hybridMultilevel"/>
    <w:tmpl w:val="C0D659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EE0794D"/>
    <w:multiLevelType w:val="hybridMultilevel"/>
    <w:tmpl w:val="AA30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A812D2"/>
    <w:multiLevelType w:val="hybridMultilevel"/>
    <w:tmpl w:val="8F40F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32180"/>
    <w:multiLevelType w:val="hybridMultilevel"/>
    <w:tmpl w:val="C7FE03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90A02E0"/>
    <w:multiLevelType w:val="hybridMultilevel"/>
    <w:tmpl w:val="062AB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A1C01"/>
    <w:multiLevelType w:val="hybridMultilevel"/>
    <w:tmpl w:val="26F4CC6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7">
      <w:start w:val="1"/>
      <w:numFmt w:val="lowerLetter"/>
      <w:lvlText w:val="%3)"/>
      <w:lvlJc w:val="left"/>
      <w:pPr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5B318B"/>
    <w:multiLevelType w:val="hybridMultilevel"/>
    <w:tmpl w:val="B608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94DF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6B6D0E"/>
    <w:multiLevelType w:val="hybridMultilevel"/>
    <w:tmpl w:val="E92823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560807"/>
    <w:multiLevelType w:val="hybridMultilevel"/>
    <w:tmpl w:val="36DC24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894622E"/>
    <w:multiLevelType w:val="hybridMultilevel"/>
    <w:tmpl w:val="829076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92942C3"/>
    <w:multiLevelType w:val="hybridMultilevel"/>
    <w:tmpl w:val="DA86C01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2D6162"/>
    <w:multiLevelType w:val="hybridMultilevel"/>
    <w:tmpl w:val="153CEF28"/>
    <w:lvl w:ilvl="0" w:tplc="130E5A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D7B11C4"/>
    <w:multiLevelType w:val="hybridMultilevel"/>
    <w:tmpl w:val="861E8F3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FC67CEE"/>
    <w:multiLevelType w:val="hybridMultilevel"/>
    <w:tmpl w:val="2460FD38"/>
    <w:lvl w:ilvl="0" w:tplc="0068D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E8D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1007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C66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721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AD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B6C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4A5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AAA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FE77971"/>
    <w:multiLevelType w:val="hybridMultilevel"/>
    <w:tmpl w:val="5F8CFB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5216635"/>
    <w:multiLevelType w:val="hybridMultilevel"/>
    <w:tmpl w:val="85AED4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5651DE6"/>
    <w:multiLevelType w:val="hybridMultilevel"/>
    <w:tmpl w:val="5AF60FBE"/>
    <w:lvl w:ilvl="0" w:tplc="382C8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1CF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928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6AB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49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9AE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7A4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86E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208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A3408BB"/>
    <w:multiLevelType w:val="hybridMultilevel"/>
    <w:tmpl w:val="4AA65516"/>
    <w:lvl w:ilvl="0" w:tplc="843A2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06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60FC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5C0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761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2F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3C0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C60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EED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2822628"/>
    <w:multiLevelType w:val="hybridMultilevel"/>
    <w:tmpl w:val="DF4CE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B07C9B"/>
    <w:multiLevelType w:val="hybridMultilevel"/>
    <w:tmpl w:val="1A8853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91449DF"/>
    <w:multiLevelType w:val="hybridMultilevel"/>
    <w:tmpl w:val="4DD8D5AC"/>
    <w:lvl w:ilvl="0" w:tplc="A5DEC4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E8C6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3CFB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7A5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E42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50C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BEF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98D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4FF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BC803BA"/>
    <w:multiLevelType w:val="hybridMultilevel"/>
    <w:tmpl w:val="6D40B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3"/>
  </w:num>
  <w:num w:numId="5">
    <w:abstractNumId w:val="26"/>
  </w:num>
  <w:num w:numId="6">
    <w:abstractNumId w:val="29"/>
  </w:num>
  <w:num w:numId="7">
    <w:abstractNumId w:val="24"/>
  </w:num>
  <w:num w:numId="8">
    <w:abstractNumId w:val="10"/>
  </w:num>
  <w:num w:numId="9">
    <w:abstractNumId w:val="8"/>
  </w:num>
  <w:num w:numId="10">
    <w:abstractNumId w:val="25"/>
  </w:num>
  <w:num w:numId="11">
    <w:abstractNumId w:val="21"/>
  </w:num>
  <w:num w:numId="12">
    <w:abstractNumId w:val="19"/>
  </w:num>
  <w:num w:numId="13">
    <w:abstractNumId w:val="23"/>
  </w:num>
  <w:num w:numId="14">
    <w:abstractNumId w:val="17"/>
  </w:num>
  <w:num w:numId="15">
    <w:abstractNumId w:val="30"/>
  </w:num>
  <w:num w:numId="16">
    <w:abstractNumId w:val="28"/>
  </w:num>
  <w:num w:numId="17">
    <w:abstractNumId w:val="14"/>
  </w:num>
  <w:num w:numId="18">
    <w:abstractNumId w:val="31"/>
  </w:num>
  <w:num w:numId="19">
    <w:abstractNumId w:val="13"/>
  </w:num>
  <w:num w:numId="20">
    <w:abstractNumId w:val="5"/>
  </w:num>
  <w:num w:numId="21">
    <w:abstractNumId w:val="9"/>
  </w:num>
  <w:num w:numId="22">
    <w:abstractNumId w:val="15"/>
  </w:num>
  <w:num w:numId="23">
    <w:abstractNumId w:val="32"/>
  </w:num>
  <w:num w:numId="24">
    <w:abstractNumId w:val="34"/>
  </w:num>
  <w:num w:numId="25">
    <w:abstractNumId w:val="22"/>
  </w:num>
  <w:num w:numId="26">
    <w:abstractNumId w:val="12"/>
  </w:num>
  <w:num w:numId="27">
    <w:abstractNumId w:val="27"/>
  </w:num>
  <w:num w:numId="28">
    <w:abstractNumId w:val="2"/>
  </w:num>
  <w:num w:numId="29">
    <w:abstractNumId w:val="11"/>
  </w:num>
  <w:num w:numId="30">
    <w:abstractNumId w:val="7"/>
  </w:num>
  <w:num w:numId="31">
    <w:abstractNumId w:val="18"/>
  </w:num>
  <w:num w:numId="32">
    <w:abstractNumId w:val="20"/>
  </w:num>
  <w:num w:numId="33">
    <w:abstractNumId w:val="16"/>
  </w:num>
  <w:num w:numId="34">
    <w:abstractNumId w:val="4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268"/>
    <w:rsid w:val="00010CC0"/>
    <w:rsid w:val="00031083"/>
    <w:rsid w:val="00045E13"/>
    <w:rsid w:val="00055FBC"/>
    <w:rsid w:val="00065D04"/>
    <w:rsid w:val="000676D8"/>
    <w:rsid w:val="000C054C"/>
    <w:rsid w:val="000C6DEF"/>
    <w:rsid w:val="001220B3"/>
    <w:rsid w:val="0012408E"/>
    <w:rsid w:val="00167B43"/>
    <w:rsid w:val="00192C21"/>
    <w:rsid w:val="001A1B98"/>
    <w:rsid w:val="001C556A"/>
    <w:rsid w:val="001F4BAE"/>
    <w:rsid w:val="001F5963"/>
    <w:rsid w:val="001F60E0"/>
    <w:rsid w:val="00205A81"/>
    <w:rsid w:val="002116B4"/>
    <w:rsid w:val="0021672A"/>
    <w:rsid w:val="002206BE"/>
    <w:rsid w:val="00221AC6"/>
    <w:rsid w:val="00250CA9"/>
    <w:rsid w:val="002524A2"/>
    <w:rsid w:val="00253FF1"/>
    <w:rsid w:val="0026100D"/>
    <w:rsid w:val="00277602"/>
    <w:rsid w:val="00282E17"/>
    <w:rsid w:val="002830C6"/>
    <w:rsid w:val="00285F75"/>
    <w:rsid w:val="0028658F"/>
    <w:rsid w:val="002A0B2A"/>
    <w:rsid w:val="002A6928"/>
    <w:rsid w:val="002C2246"/>
    <w:rsid w:val="002D2944"/>
    <w:rsid w:val="002E21EE"/>
    <w:rsid w:val="00327D85"/>
    <w:rsid w:val="00332656"/>
    <w:rsid w:val="00345F23"/>
    <w:rsid w:val="00352C21"/>
    <w:rsid w:val="00352FAC"/>
    <w:rsid w:val="00353A53"/>
    <w:rsid w:val="00363F3F"/>
    <w:rsid w:val="00367AFA"/>
    <w:rsid w:val="003B68FD"/>
    <w:rsid w:val="003B775A"/>
    <w:rsid w:val="003D5669"/>
    <w:rsid w:val="003D7DAD"/>
    <w:rsid w:val="003E1C03"/>
    <w:rsid w:val="003F3365"/>
    <w:rsid w:val="003F5728"/>
    <w:rsid w:val="004172AD"/>
    <w:rsid w:val="00465041"/>
    <w:rsid w:val="00485AF8"/>
    <w:rsid w:val="00487397"/>
    <w:rsid w:val="004B16C5"/>
    <w:rsid w:val="004B5E69"/>
    <w:rsid w:val="004C1FC5"/>
    <w:rsid w:val="004C4D90"/>
    <w:rsid w:val="004C4FA5"/>
    <w:rsid w:val="004D7F0A"/>
    <w:rsid w:val="004E3EFB"/>
    <w:rsid w:val="004F4647"/>
    <w:rsid w:val="004F5839"/>
    <w:rsid w:val="00500A01"/>
    <w:rsid w:val="00513958"/>
    <w:rsid w:val="005363ED"/>
    <w:rsid w:val="0054181C"/>
    <w:rsid w:val="00543359"/>
    <w:rsid w:val="00561C76"/>
    <w:rsid w:val="005646B5"/>
    <w:rsid w:val="005958D7"/>
    <w:rsid w:val="005C4E13"/>
    <w:rsid w:val="005F354B"/>
    <w:rsid w:val="00622FC9"/>
    <w:rsid w:val="00627F97"/>
    <w:rsid w:val="00644B74"/>
    <w:rsid w:val="00681249"/>
    <w:rsid w:val="006A66F3"/>
    <w:rsid w:val="006B6C41"/>
    <w:rsid w:val="006D62CF"/>
    <w:rsid w:val="006E485A"/>
    <w:rsid w:val="00703717"/>
    <w:rsid w:val="00704649"/>
    <w:rsid w:val="007048F3"/>
    <w:rsid w:val="007166E2"/>
    <w:rsid w:val="00717A7F"/>
    <w:rsid w:val="00723F9E"/>
    <w:rsid w:val="007501B6"/>
    <w:rsid w:val="007566EC"/>
    <w:rsid w:val="00761938"/>
    <w:rsid w:val="00763CC1"/>
    <w:rsid w:val="007827D7"/>
    <w:rsid w:val="007924A2"/>
    <w:rsid w:val="00805ED1"/>
    <w:rsid w:val="0081257A"/>
    <w:rsid w:val="0085387A"/>
    <w:rsid w:val="00865268"/>
    <w:rsid w:val="00871D9D"/>
    <w:rsid w:val="008747CA"/>
    <w:rsid w:val="0088693C"/>
    <w:rsid w:val="00887174"/>
    <w:rsid w:val="008A4CB0"/>
    <w:rsid w:val="008B40F8"/>
    <w:rsid w:val="008B4FA6"/>
    <w:rsid w:val="008C2924"/>
    <w:rsid w:val="008D1D58"/>
    <w:rsid w:val="009161D2"/>
    <w:rsid w:val="00940E21"/>
    <w:rsid w:val="009550C8"/>
    <w:rsid w:val="00960DFC"/>
    <w:rsid w:val="00965C68"/>
    <w:rsid w:val="00982625"/>
    <w:rsid w:val="00985E1C"/>
    <w:rsid w:val="009862FE"/>
    <w:rsid w:val="00994CE9"/>
    <w:rsid w:val="009B3E02"/>
    <w:rsid w:val="009C69FF"/>
    <w:rsid w:val="00A276B0"/>
    <w:rsid w:val="00A3761C"/>
    <w:rsid w:val="00A45268"/>
    <w:rsid w:val="00A724E7"/>
    <w:rsid w:val="00A909FE"/>
    <w:rsid w:val="00A95E27"/>
    <w:rsid w:val="00AA7215"/>
    <w:rsid w:val="00AB592D"/>
    <w:rsid w:val="00AB7FE4"/>
    <w:rsid w:val="00AC27CA"/>
    <w:rsid w:val="00AD0D45"/>
    <w:rsid w:val="00AE185B"/>
    <w:rsid w:val="00B11FDB"/>
    <w:rsid w:val="00B173D9"/>
    <w:rsid w:val="00B255D3"/>
    <w:rsid w:val="00B2669B"/>
    <w:rsid w:val="00B42D5C"/>
    <w:rsid w:val="00B62DE0"/>
    <w:rsid w:val="00B653C7"/>
    <w:rsid w:val="00B719A6"/>
    <w:rsid w:val="00B97693"/>
    <w:rsid w:val="00BA240C"/>
    <w:rsid w:val="00BC2A96"/>
    <w:rsid w:val="00BD3902"/>
    <w:rsid w:val="00BE135F"/>
    <w:rsid w:val="00BE1551"/>
    <w:rsid w:val="00BF6BCB"/>
    <w:rsid w:val="00C3203D"/>
    <w:rsid w:val="00C50196"/>
    <w:rsid w:val="00C62E58"/>
    <w:rsid w:val="00C82692"/>
    <w:rsid w:val="00C95699"/>
    <w:rsid w:val="00CC4D96"/>
    <w:rsid w:val="00CF6B58"/>
    <w:rsid w:val="00D17A97"/>
    <w:rsid w:val="00D255FA"/>
    <w:rsid w:val="00D25DC8"/>
    <w:rsid w:val="00D2710B"/>
    <w:rsid w:val="00D27CE7"/>
    <w:rsid w:val="00D31363"/>
    <w:rsid w:val="00D33442"/>
    <w:rsid w:val="00D453C1"/>
    <w:rsid w:val="00D4746C"/>
    <w:rsid w:val="00D67623"/>
    <w:rsid w:val="00DB6AF8"/>
    <w:rsid w:val="00DC4850"/>
    <w:rsid w:val="00DC65BD"/>
    <w:rsid w:val="00DE3800"/>
    <w:rsid w:val="00DE3BD9"/>
    <w:rsid w:val="00DE6901"/>
    <w:rsid w:val="00E251E3"/>
    <w:rsid w:val="00E301F5"/>
    <w:rsid w:val="00E318BB"/>
    <w:rsid w:val="00E52AC5"/>
    <w:rsid w:val="00E57D7A"/>
    <w:rsid w:val="00EC4B2F"/>
    <w:rsid w:val="00ED6F74"/>
    <w:rsid w:val="00EE305A"/>
    <w:rsid w:val="00F00C03"/>
    <w:rsid w:val="00F01D1F"/>
    <w:rsid w:val="00F15C9D"/>
    <w:rsid w:val="00F302BA"/>
    <w:rsid w:val="00F7683A"/>
    <w:rsid w:val="00F97CAF"/>
    <w:rsid w:val="00FA6BCE"/>
    <w:rsid w:val="00FB01D4"/>
    <w:rsid w:val="00FB0942"/>
    <w:rsid w:val="00FB302C"/>
    <w:rsid w:val="00FD16A4"/>
    <w:rsid w:val="00FD78A1"/>
    <w:rsid w:val="00FE470F"/>
    <w:rsid w:val="00F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B71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C6"/>
    <w:pPr>
      <w:ind w:left="720"/>
      <w:contextualSpacing/>
    </w:pPr>
  </w:style>
  <w:style w:type="character" w:customStyle="1" w:styleId="apple-converted-space">
    <w:name w:val="apple-converted-space"/>
    <w:basedOn w:val="a0"/>
    <w:rsid w:val="002206BE"/>
  </w:style>
  <w:style w:type="character" w:styleId="a4">
    <w:name w:val="Strong"/>
    <w:basedOn w:val="a0"/>
    <w:uiPriority w:val="22"/>
    <w:qFormat/>
    <w:rsid w:val="002206B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55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5F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EC4B2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C4B2F"/>
  </w:style>
  <w:style w:type="character" w:customStyle="1" w:styleId="a9">
    <w:name w:val="Текст примечания Знак"/>
    <w:basedOn w:val="a0"/>
    <w:link w:val="a8"/>
    <w:uiPriority w:val="99"/>
    <w:semiHidden/>
    <w:rsid w:val="00EC4B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C4B2F"/>
    <w:rPr>
      <w:b/>
      <w:bCs/>
      <w:sz w:val="20"/>
      <w:szCs w:val="20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C4B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627F97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5F3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C6"/>
    <w:pPr>
      <w:ind w:left="720"/>
      <w:contextualSpacing/>
    </w:pPr>
  </w:style>
  <w:style w:type="character" w:customStyle="1" w:styleId="apple-converted-space">
    <w:name w:val="apple-converted-space"/>
    <w:basedOn w:val="a0"/>
    <w:rsid w:val="002206BE"/>
  </w:style>
  <w:style w:type="character" w:styleId="a4">
    <w:name w:val="Strong"/>
    <w:basedOn w:val="a0"/>
    <w:uiPriority w:val="22"/>
    <w:qFormat/>
    <w:rsid w:val="002206B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55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5F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EC4B2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C4B2F"/>
  </w:style>
  <w:style w:type="character" w:customStyle="1" w:styleId="a9">
    <w:name w:val="Текст примечания Знак"/>
    <w:basedOn w:val="a0"/>
    <w:link w:val="a8"/>
    <w:uiPriority w:val="99"/>
    <w:semiHidden/>
    <w:rsid w:val="00EC4B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C4B2F"/>
    <w:rPr>
      <w:b/>
      <w:bCs/>
      <w:sz w:val="20"/>
      <w:szCs w:val="20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C4B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627F97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5F3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3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51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299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36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239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058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63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410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191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892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98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89621">
          <w:marLeft w:val="53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725">
          <w:marLeft w:val="53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1083">
          <w:marLeft w:val="53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60228">
          <w:marLeft w:val="53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757">
          <w:marLeft w:val="53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4591</Characters>
  <Application>Microsoft Office Word</Application>
  <DocSecurity>0</DocSecurity>
  <Lines>86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2016-11-10T05:08:00Z</dcterms:created>
  <dcterms:modified xsi:type="dcterms:W3CDTF">2016-11-10T05:13:00Z</dcterms:modified>
</cp:coreProperties>
</file>